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77777777" w:rsidR="00AA5BDD" w:rsidRPr="00535233" w:rsidRDefault="00AA5BDD" w:rsidP="00535233">
      <w:pPr>
        <w:pStyle w:val="Title"/>
      </w:pPr>
      <w:r w:rsidRPr="00535233">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sidRPr="00535233">
        <w:t>C</w:t>
      </w:r>
      <w:bookmarkStart w:id="0" w:name="_Hlk499644004"/>
      <w:r w:rsidRPr="00535233">
        <w:t>urriculum Committee</w:t>
      </w:r>
    </w:p>
    <w:bookmarkEnd w:id="0"/>
    <w:p w14:paraId="1E3ADBD3" w14:textId="698A63EE" w:rsidR="00AA5BDD" w:rsidRPr="00535233" w:rsidRDefault="00536A41" w:rsidP="00535233">
      <w:pPr>
        <w:pStyle w:val="Title"/>
      </w:pPr>
      <w:r>
        <w:t>February</w:t>
      </w:r>
      <w:r w:rsidR="00216E3F" w:rsidRPr="00535233">
        <w:t xml:space="preserve"> </w:t>
      </w:r>
      <w:r>
        <w:t>5</w:t>
      </w:r>
      <w:r w:rsidR="00AA5BDD" w:rsidRPr="00535233">
        <w:t>, 201</w:t>
      </w:r>
      <w:r>
        <w:t>8</w:t>
      </w:r>
      <w:r w:rsidR="00AA5BDD" w:rsidRPr="00535233">
        <w:br/>
        <w:t>2:30 – 4:00 pm</w:t>
      </w:r>
    </w:p>
    <w:p w14:paraId="53100218" w14:textId="6BC4A584" w:rsidR="00AA5BDD" w:rsidRPr="00535233" w:rsidRDefault="00AA5BDD" w:rsidP="00535233">
      <w:pPr>
        <w:pStyle w:val="Title"/>
      </w:pPr>
      <w:r w:rsidRPr="00535233">
        <w:t>Building 12 - 120</w:t>
      </w:r>
      <w:r w:rsidRPr="00535233">
        <w:br/>
      </w:r>
      <w:r w:rsidR="00EA1712">
        <w:rPr>
          <w:b/>
        </w:rPr>
        <w:t>MINUTES</w:t>
      </w:r>
    </w:p>
    <w:p w14:paraId="1DA02FDC" w14:textId="53D37202" w:rsidR="00640B63" w:rsidRDefault="00C22E9C" w:rsidP="00640B63">
      <w:pPr>
        <w:pStyle w:val="ListParagraph"/>
        <w:numPr>
          <w:ilvl w:val="0"/>
          <w:numId w:val="4"/>
        </w:numPr>
      </w:pPr>
      <w:r w:rsidRPr="00393CD0">
        <w:rPr>
          <w:b/>
        </w:rPr>
        <w:t xml:space="preserve">Members Present:  </w:t>
      </w:r>
      <w:r w:rsidRPr="00393CD0">
        <w:t xml:space="preserve">James Mendoza (proxy for Dave Howard), Mike </w:t>
      </w:r>
      <w:proofErr w:type="spellStart"/>
      <w:r w:rsidRPr="00393CD0">
        <w:t>Mixdorf</w:t>
      </w:r>
      <w:proofErr w:type="spellEnd"/>
      <w:r w:rsidRPr="00393CD0">
        <w:t>, Bridgette</w:t>
      </w:r>
      <w:r>
        <w:t xml:space="preserve"> </w:t>
      </w:r>
      <w:proofErr w:type="spellStart"/>
      <w:r>
        <w:t>Agpaoa</w:t>
      </w:r>
      <w:proofErr w:type="spellEnd"/>
      <w:r>
        <w:t xml:space="preserve">-Ryder, Mary Jane Oberhofer, </w:t>
      </w:r>
      <w:proofErr w:type="spellStart"/>
      <w:r>
        <w:t>Marit</w:t>
      </w:r>
      <w:proofErr w:type="spellEnd"/>
      <w:r>
        <w:t xml:space="preserve"> Berg, Greg </w:t>
      </w:r>
      <w:proofErr w:type="spellStart"/>
      <w:r>
        <w:t>Ferencko</w:t>
      </w:r>
      <w:proofErr w:type="spellEnd"/>
      <w:r>
        <w:t xml:space="preserve">, Heather Cushman, Craig Cowden, Heather </w:t>
      </w:r>
      <w:proofErr w:type="spellStart"/>
      <w:r>
        <w:t>Gillanders</w:t>
      </w:r>
      <w:proofErr w:type="spellEnd"/>
      <w:r>
        <w:t xml:space="preserve">, Tracey </w:t>
      </w:r>
      <w:proofErr w:type="spellStart"/>
      <w:r>
        <w:t>Ushman</w:t>
      </w:r>
      <w:proofErr w:type="spellEnd"/>
      <w:r>
        <w:t xml:space="preserve">, Jeff Calkins, Darlene </w:t>
      </w:r>
      <w:proofErr w:type="spellStart"/>
      <w:r>
        <w:t>Rompogren</w:t>
      </w:r>
      <w:proofErr w:type="spellEnd"/>
      <w:r>
        <w:t>, Phil Hunter, Scott Davis, Colleen Spezia</w:t>
      </w:r>
    </w:p>
    <w:p w14:paraId="41AAF8FE" w14:textId="437517FA" w:rsidR="00640B63" w:rsidRPr="00393CD0" w:rsidRDefault="002B20F0" w:rsidP="00640B63">
      <w:pPr>
        <w:pStyle w:val="ListParagraph"/>
        <w:numPr>
          <w:ilvl w:val="0"/>
          <w:numId w:val="4"/>
        </w:numPr>
        <w:rPr>
          <w:b/>
        </w:rPr>
      </w:pPr>
      <w:r w:rsidRPr="00393CD0">
        <w:rPr>
          <w:b/>
        </w:rPr>
        <w:t>Consent Agenda</w:t>
      </w:r>
      <w:r w:rsidR="00393CD0" w:rsidRPr="00393CD0">
        <w:rPr>
          <w:b/>
        </w:rPr>
        <w:t xml:space="preserve">:  </w:t>
      </w:r>
      <w:r w:rsidR="002D7672">
        <w:t>The Consent Agenda, which included approval of the 12/4/2017 minutes, and recommendations to delete ACCT 102 and ACCT 103 and to modify ACCT 165 and ACCT 175 was a</w:t>
      </w:r>
      <w:r w:rsidR="00E323D2">
        <w:t>pproved</w:t>
      </w:r>
      <w:r w:rsidR="00C22E9C" w:rsidRPr="00393CD0">
        <w:t xml:space="preserve"> without changes.</w:t>
      </w:r>
    </w:p>
    <w:p w14:paraId="07511FE8" w14:textId="4B42BC0A" w:rsidR="00AC4BC7" w:rsidRPr="00393CD0" w:rsidRDefault="002B20F0" w:rsidP="00C90282">
      <w:pPr>
        <w:pStyle w:val="ListParagraph"/>
        <w:numPr>
          <w:ilvl w:val="0"/>
          <w:numId w:val="4"/>
        </w:numPr>
        <w:rPr>
          <w:b/>
        </w:rPr>
      </w:pPr>
      <w:r w:rsidRPr="00393CD0">
        <w:rPr>
          <w:b/>
        </w:rPr>
        <w:t>Agenda</w:t>
      </w:r>
      <w:r w:rsidR="00393CD0" w:rsidRPr="00393CD0">
        <w:rPr>
          <w:b/>
        </w:rPr>
        <w:t xml:space="preserve">:  </w:t>
      </w:r>
      <w:r w:rsidR="00393CD0" w:rsidRPr="00393CD0">
        <w:t>A</w:t>
      </w:r>
      <w:r w:rsidR="00C22E9C" w:rsidRPr="00393CD0">
        <w:t>pproved without changes.</w:t>
      </w:r>
    </w:p>
    <w:p w14:paraId="48BA7FE2" w14:textId="77777777" w:rsidR="001C3F19" w:rsidRPr="00393CD0" w:rsidRDefault="001C3F19" w:rsidP="001C3F19">
      <w:pPr>
        <w:pStyle w:val="ListParagraph"/>
        <w:rPr>
          <w:sz w:val="16"/>
          <w:szCs w:val="16"/>
        </w:rPr>
      </w:pPr>
    </w:p>
    <w:p w14:paraId="2F4D05F6" w14:textId="1F72BC80" w:rsidR="00EC629C" w:rsidRPr="00393CD0" w:rsidRDefault="00EC629C" w:rsidP="001C3F19">
      <w:pPr>
        <w:pStyle w:val="ListParagraph"/>
        <w:numPr>
          <w:ilvl w:val="0"/>
          <w:numId w:val="4"/>
        </w:numPr>
        <w:rPr>
          <w:b/>
        </w:rPr>
      </w:pPr>
      <w:r w:rsidRPr="00393CD0">
        <w:rPr>
          <w:b/>
        </w:rPr>
        <w:t xml:space="preserve">New </w:t>
      </w:r>
      <w:r w:rsidR="006745E0" w:rsidRPr="00393CD0">
        <w:rPr>
          <w:b/>
        </w:rPr>
        <w:t>Degrees</w:t>
      </w:r>
      <w:r w:rsidRPr="00393CD0">
        <w:rPr>
          <w:b/>
        </w:rPr>
        <w:t xml:space="preserve"> – Phase </w:t>
      </w:r>
      <w:r w:rsidR="006745E0" w:rsidRPr="00393CD0">
        <w:rPr>
          <w:b/>
        </w:rPr>
        <w:t>1</w:t>
      </w:r>
    </w:p>
    <w:p w14:paraId="6ADC1C2D" w14:textId="6749A07B" w:rsidR="00297E9B" w:rsidRPr="00393CD0" w:rsidRDefault="00C47ACD" w:rsidP="00C22E9C">
      <w:pPr>
        <w:spacing w:line="256" w:lineRule="auto"/>
        <w:ind w:firstLine="720"/>
        <w:rPr>
          <w:b/>
          <w:color w:val="0000FF"/>
          <w:u w:val="single"/>
        </w:rPr>
      </w:pPr>
      <w:r w:rsidRPr="00393CD0">
        <w:rPr>
          <w:b/>
        </w:rPr>
        <w:t>Bachelor of Applied Science Degree in Applied Management</w:t>
      </w:r>
    </w:p>
    <w:p w14:paraId="1573C71E" w14:textId="5B804155" w:rsidR="004D076C" w:rsidRDefault="004D076C" w:rsidP="00674A17">
      <w:pPr>
        <w:spacing w:line="240" w:lineRule="auto"/>
        <w:ind w:left="720"/>
      </w:pPr>
      <w:r w:rsidRPr="004D076C">
        <w:t xml:space="preserve">Mary Jane Oberhofer </w:t>
      </w:r>
      <w:r w:rsidR="004A6F21">
        <w:t>m</w:t>
      </w:r>
      <w:r w:rsidR="00C22E9C">
        <w:t>o</w:t>
      </w:r>
      <w:r w:rsidR="004A6F21">
        <w:t>ved</w:t>
      </w:r>
      <w:r w:rsidR="00C22E9C">
        <w:t xml:space="preserve"> to support development of </w:t>
      </w:r>
      <w:r w:rsidR="00E323D2">
        <w:t>the Bachelor of Applied Science Degree in Applied Management</w:t>
      </w:r>
      <w:r w:rsidR="001504E7">
        <w:t xml:space="preserve">, and </w:t>
      </w:r>
      <w:r w:rsidR="00C22E9C">
        <w:t>Jeff Calkins</w:t>
      </w:r>
      <w:r w:rsidR="001504E7">
        <w:t xml:space="preserve"> seconded the motion</w:t>
      </w:r>
      <w:r w:rsidR="00C22E9C">
        <w:t>.</w:t>
      </w:r>
      <w:r w:rsidR="00393CD0">
        <w:t xml:space="preserve">  Mary Jane </w:t>
      </w:r>
      <w:r w:rsidR="001504E7">
        <w:t xml:space="preserve">Oberhofer </w:t>
      </w:r>
      <w:r w:rsidR="00393CD0">
        <w:t>explained that this is TCC’s third BAS degree</w:t>
      </w:r>
      <w:r w:rsidR="00E95F36">
        <w:t>, with</w:t>
      </w:r>
      <w:r w:rsidR="00762143">
        <w:t xml:space="preserve"> 26 </w:t>
      </w:r>
      <w:r w:rsidR="00E95F36">
        <w:t xml:space="preserve">other </w:t>
      </w:r>
      <w:r w:rsidR="00762143">
        <w:t xml:space="preserve">community and technical colleges </w:t>
      </w:r>
      <w:r w:rsidR="00E95F36">
        <w:t xml:space="preserve">also now </w:t>
      </w:r>
      <w:r w:rsidR="00762143">
        <w:t>offer</w:t>
      </w:r>
      <w:r w:rsidR="00E95F36">
        <w:t>ing</w:t>
      </w:r>
      <w:r w:rsidR="00762143">
        <w:t xml:space="preserve"> </w:t>
      </w:r>
      <w:r w:rsidR="003A342B">
        <w:t>BAS degrees.  T</w:t>
      </w:r>
      <w:r w:rsidR="00762143">
        <w:t xml:space="preserve">hese degrees </w:t>
      </w:r>
      <w:r w:rsidR="001504E7">
        <w:t>give</w:t>
      </w:r>
      <w:r w:rsidR="00762143">
        <w:t xml:space="preserve"> students who normally might not have access </w:t>
      </w:r>
      <w:r w:rsidR="001504E7">
        <w:t xml:space="preserve">to higher education a chance </w:t>
      </w:r>
      <w:r w:rsidR="00762143">
        <w:t xml:space="preserve">to </w:t>
      </w:r>
      <w:r w:rsidR="003A342B">
        <w:t>obtain</w:t>
      </w:r>
      <w:r w:rsidR="00762143">
        <w:t xml:space="preserve"> a higher credential</w:t>
      </w:r>
      <w:r w:rsidR="00E95F36">
        <w:t>, hence the effort to</w:t>
      </w:r>
      <w:r w:rsidR="003A342B">
        <w:t xml:space="preserve"> expand beyond the health field and offer </w:t>
      </w:r>
      <w:r w:rsidR="00E95F36">
        <w:t xml:space="preserve">BAS </w:t>
      </w:r>
      <w:r w:rsidR="003A342B">
        <w:t xml:space="preserve">degrees in other areas.  Currently, </w:t>
      </w:r>
      <w:r w:rsidR="00E323D2">
        <w:t>eight</w:t>
      </w:r>
      <w:r w:rsidR="003A342B">
        <w:t xml:space="preserve"> other colleges in Washington offer Applied Management BAS Deg</w:t>
      </w:r>
      <w:r w:rsidR="001504E7">
        <w:t>rees, but no others</w:t>
      </w:r>
      <w:r w:rsidR="003A342B">
        <w:t xml:space="preserve"> in Pierce County do.  This degree will allow </w:t>
      </w:r>
      <w:r w:rsidR="00762143">
        <w:t xml:space="preserve">students from </w:t>
      </w:r>
      <w:r w:rsidR="003A342B">
        <w:t xml:space="preserve">virtually </w:t>
      </w:r>
      <w:r w:rsidR="00762143">
        <w:t>any Prof-Tech program to step int</w:t>
      </w:r>
      <w:r w:rsidR="003A342B">
        <w:t xml:space="preserve">o a management role within their Prof-Tech context in fields that previously did not offer </w:t>
      </w:r>
      <w:r w:rsidR="00E323D2">
        <w:t>Bachelor’s Degrees</w:t>
      </w:r>
      <w:r w:rsidR="00762143">
        <w:t xml:space="preserve">.  </w:t>
      </w:r>
      <w:r w:rsidR="00E95F36">
        <w:t>There is</w:t>
      </w:r>
      <w:r w:rsidR="003A342B">
        <w:t xml:space="preserve"> significant demand on the employer side; currently there are not enough graduates with this type of d</w:t>
      </w:r>
      <w:r w:rsidR="001504E7">
        <w:t>egree</w:t>
      </w:r>
      <w:r w:rsidR="003A342B">
        <w:t xml:space="preserve">, leaving approximately 1,200 jobs unfilled.  A survey of </w:t>
      </w:r>
      <w:r w:rsidR="007371E0">
        <w:t>TCC’s</w:t>
      </w:r>
      <w:r w:rsidR="003A342B">
        <w:t xml:space="preserve"> current </w:t>
      </w:r>
      <w:r w:rsidR="00726A65">
        <w:t>B</w:t>
      </w:r>
      <w:r w:rsidR="003A342B">
        <w:t>usiness</w:t>
      </w:r>
      <w:r w:rsidR="00726A65">
        <w:t>, Human Services,</w:t>
      </w:r>
      <w:r w:rsidR="003A342B">
        <w:t xml:space="preserve"> </w:t>
      </w:r>
      <w:r w:rsidR="00726A65">
        <w:t xml:space="preserve">Accounting, and Paralegal </w:t>
      </w:r>
      <w:r w:rsidR="003A342B">
        <w:t xml:space="preserve">students </w:t>
      </w:r>
      <w:r w:rsidR="00714710">
        <w:t>showed that there is</w:t>
      </w:r>
      <w:r w:rsidR="00726A65">
        <w:t xml:space="preserve"> demand </w:t>
      </w:r>
      <w:r w:rsidR="00E95F36">
        <w:t xml:space="preserve">among students </w:t>
      </w:r>
      <w:r w:rsidR="00714710">
        <w:t xml:space="preserve">as well </w:t>
      </w:r>
      <w:r w:rsidR="00726A65">
        <w:t xml:space="preserve">for this type of degree.  </w:t>
      </w:r>
      <w:r w:rsidR="00762143">
        <w:t xml:space="preserve">Craig Cowden asked </w:t>
      </w:r>
      <w:r w:rsidR="00726A65">
        <w:t xml:space="preserve">if the proposed </w:t>
      </w:r>
      <w:r w:rsidR="00E323D2">
        <w:t>degree</w:t>
      </w:r>
      <w:r w:rsidR="00726A65">
        <w:t xml:space="preserve"> would consist of face-to-face or online classes,</w:t>
      </w:r>
      <w:r w:rsidR="003A342B">
        <w:t xml:space="preserve"> and Mary Jane </w:t>
      </w:r>
      <w:r w:rsidR="00E323D2">
        <w:t xml:space="preserve">Oberhofer </w:t>
      </w:r>
      <w:r w:rsidR="00762143">
        <w:t>explained that</w:t>
      </w:r>
      <w:r w:rsidR="00726A65">
        <w:t xml:space="preserve"> since it aims to serve place-bound and working people, it would probably have hybrid or fu</w:t>
      </w:r>
      <w:r w:rsidR="001504E7">
        <w:t>ll-online courses, but that determination</w:t>
      </w:r>
      <w:r w:rsidR="00726A65">
        <w:t xml:space="preserve"> will</w:t>
      </w:r>
      <w:r w:rsidR="00E323D2">
        <w:t xml:space="preserve"> be made in the next (</w:t>
      </w:r>
      <w:r w:rsidR="00726A65">
        <w:t>program proposal)</w:t>
      </w:r>
      <w:r w:rsidR="00E323D2">
        <w:t xml:space="preserve"> phase.  </w:t>
      </w:r>
      <w:r w:rsidR="00726A65">
        <w:t>This statement of need, if approved,</w:t>
      </w:r>
      <w:r w:rsidR="00762143">
        <w:t xml:space="preserve"> will go to the State Board o</w:t>
      </w:r>
      <w:r w:rsidR="00C86935">
        <w:t>n</w:t>
      </w:r>
      <w:r w:rsidR="00762143">
        <w:t xml:space="preserve"> Feb</w:t>
      </w:r>
      <w:r w:rsidR="00726A65">
        <w:t xml:space="preserve">ruary 15 and </w:t>
      </w:r>
      <w:r w:rsidR="00762143">
        <w:t xml:space="preserve">will </w:t>
      </w:r>
      <w:r w:rsidR="00726A65">
        <w:t>be defended</w:t>
      </w:r>
      <w:r w:rsidR="00E95F36">
        <w:t xml:space="preserve"> in May.  The m</w:t>
      </w:r>
      <w:r w:rsidR="00762143">
        <w:t>otion carried.</w:t>
      </w:r>
      <w:r w:rsidR="00714710">
        <w:t xml:space="preserve"> </w:t>
      </w:r>
    </w:p>
    <w:p w14:paraId="34903976" w14:textId="77777777" w:rsidR="001A4BDC" w:rsidRDefault="001A4BDC" w:rsidP="00674A17">
      <w:pPr>
        <w:spacing w:line="240" w:lineRule="auto"/>
      </w:pPr>
    </w:p>
    <w:p w14:paraId="0DA7ADF8" w14:textId="760A798B" w:rsidR="001504E7" w:rsidRDefault="001A4BDC" w:rsidP="00674A17">
      <w:pPr>
        <w:spacing w:line="240" w:lineRule="auto"/>
      </w:pPr>
      <w:r>
        <w:t xml:space="preserve">Phil Hunter noted that since the next two items on the agenda are projects incorporating more than just a course, it makes more sense to address them in their entirety; thus, rather than </w:t>
      </w:r>
      <w:r w:rsidR="004A5507">
        <w:t>separating the degrees</w:t>
      </w:r>
      <w:r>
        <w:t xml:space="preserve"> from the course modification</w:t>
      </w:r>
      <w:r w:rsidR="004A5507">
        <w:t xml:space="preserve">s and new course proposals, the </w:t>
      </w:r>
      <w:r>
        <w:t xml:space="preserve">Committee will consider each of the following </w:t>
      </w:r>
      <w:r w:rsidR="004A5507">
        <w:t xml:space="preserve">two </w:t>
      </w:r>
      <w:r>
        <w:t xml:space="preserve">projects </w:t>
      </w:r>
      <w:r w:rsidR="00714710">
        <w:t xml:space="preserve">(#5 and #6) </w:t>
      </w:r>
      <w:r w:rsidR="00E65094">
        <w:t>as a whole.</w:t>
      </w:r>
    </w:p>
    <w:p w14:paraId="0AE5D10C" w14:textId="0CDAD531" w:rsidR="00E65094" w:rsidRDefault="00E65094" w:rsidP="00674A17">
      <w:pPr>
        <w:spacing w:line="240" w:lineRule="auto"/>
      </w:pPr>
    </w:p>
    <w:p w14:paraId="42317904" w14:textId="77777777" w:rsidR="00E65094" w:rsidRPr="00E65094" w:rsidRDefault="00E65094" w:rsidP="00674A17">
      <w:pPr>
        <w:spacing w:line="240" w:lineRule="auto"/>
      </w:pPr>
    </w:p>
    <w:p w14:paraId="195F2CFB" w14:textId="6388F7BF" w:rsidR="002B20F0" w:rsidRPr="00393CD0" w:rsidRDefault="00B8540E" w:rsidP="00674A17">
      <w:pPr>
        <w:pStyle w:val="ListParagraph"/>
        <w:numPr>
          <w:ilvl w:val="0"/>
          <w:numId w:val="4"/>
        </w:numPr>
        <w:spacing w:line="240" w:lineRule="auto"/>
        <w:rPr>
          <w:b/>
        </w:rPr>
      </w:pPr>
      <w:r w:rsidRPr="00393CD0">
        <w:rPr>
          <w:b/>
        </w:rPr>
        <w:lastRenderedPageBreak/>
        <w:t>AAS Business Degree Review Project</w:t>
      </w:r>
    </w:p>
    <w:p w14:paraId="273FA4BB" w14:textId="2D41BA2C" w:rsidR="00872682" w:rsidRDefault="00872682" w:rsidP="00674A17">
      <w:pPr>
        <w:pStyle w:val="ListParagraph"/>
        <w:numPr>
          <w:ilvl w:val="1"/>
          <w:numId w:val="4"/>
        </w:numPr>
        <w:spacing w:line="240" w:lineRule="auto"/>
      </w:pPr>
      <w:r>
        <w:t>Modification to the Business AAS Degree</w:t>
      </w:r>
    </w:p>
    <w:p w14:paraId="4F9F7233" w14:textId="1F88B8FF" w:rsidR="00872682" w:rsidRDefault="00872682" w:rsidP="00674A17">
      <w:pPr>
        <w:pStyle w:val="ListParagraph"/>
        <w:numPr>
          <w:ilvl w:val="1"/>
          <w:numId w:val="4"/>
        </w:numPr>
        <w:spacing w:line="240" w:lineRule="auto"/>
      </w:pPr>
      <w:r>
        <w:t>Modification to the Marketing Certificate</w:t>
      </w:r>
    </w:p>
    <w:p w14:paraId="32ECE752" w14:textId="39D28AAC" w:rsidR="00872682" w:rsidRDefault="00872682" w:rsidP="00674A17">
      <w:pPr>
        <w:pStyle w:val="ListParagraph"/>
        <w:numPr>
          <w:ilvl w:val="1"/>
          <w:numId w:val="4"/>
        </w:numPr>
        <w:spacing w:line="240" w:lineRule="auto"/>
      </w:pPr>
      <w:r>
        <w:t>Modification to the Management Certificate</w:t>
      </w:r>
    </w:p>
    <w:p w14:paraId="4572F1A1" w14:textId="4B49AD5A" w:rsidR="00872682" w:rsidRDefault="00872682" w:rsidP="00674A17">
      <w:pPr>
        <w:pStyle w:val="ListParagraph"/>
        <w:numPr>
          <w:ilvl w:val="1"/>
          <w:numId w:val="4"/>
        </w:numPr>
        <w:spacing w:line="240" w:lineRule="auto"/>
        <w:ind w:left="1440" w:hanging="360"/>
      </w:pPr>
      <w:r>
        <w:t>Modification to the Entrepreneurship and Small Business Management Concentration</w:t>
      </w:r>
    </w:p>
    <w:p w14:paraId="65AC9A35" w14:textId="5ED0D3C9" w:rsidR="00872682" w:rsidRDefault="00872682" w:rsidP="00674A17">
      <w:pPr>
        <w:pStyle w:val="ListParagraph"/>
        <w:numPr>
          <w:ilvl w:val="1"/>
          <w:numId w:val="4"/>
        </w:numPr>
        <w:spacing w:line="240" w:lineRule="auto"/>
      </w:pPr>
      <w:r>
        <w:t>Modification to the Global Logistics Concentration</w:t>
      </w:r>
    </w:p>
    <w:p w14:paraId="29A4D299" w14:textId="0E6464E4" w:rsidR="00872682" w:rsidRDefault="00872682" w:rsidP="00674A17">
      <w:pPr>
        <w:pStyle w:val="ListParagraph"/>
        <w:numPr>
          <w:ilvl w:val="1"/>
          <w:numId w:val="4"/>
        </w:numPr>
        <w:spacing w:line="240" w:lineRule="auto"/>
      </w:pPr>
      <w:r>
        <w:t>New course: BUS 260 – Small Business Operations</w:t>
      </w:r>
    </w:p>
    <w:p w14:paraId="47383712" w14:textId="17816EF2" w:rsidR="007853EE" w:rsidRDefault="00872682" w:rsidP="00674A17">
      <w:pPr>
        <w:pStyle w:val="ListParagraph"/>
        <w:numPr>
          <w:ilvl w:val="1"/>
          <w:numId w:val="4"/>
        </w:numPr>
        <w:spacing w:line="240" w:lineRule="auto"/>
      </w:pPr>
      <w:r>
        <w:t>Modification to LOG 115 – Logistics Security and Risk Management</w:t>
      </w:r>
      <w:r w:rsidRPr="00B8699A">
        <w:t xml:space="preserve"> </w:t>
      </w:r>
    </w:p>
    <w:p w14:paraId="1A59BDD4" w14:textId="65B1AD71" w:rsidR="00797DA4" w:rsidRDefault="00C16F75" w:rsidP="00E65094">
      <w:pPr>
        <w:pStyle w:val="ListParagraph"/>
        <w:spacing w:line="240" w:lineRule="auto"/>
        <w:ind w:left="1080"/>
      </w:pPr>
      <w:r w:rsidRPr="00C16F75">
        <w:t>Mary Jane</w:t>
      </w:r>
      <w:r>
        <w:t xml:space="preserve"> </w:t>
      </w:r>
      <w:r w:rsidRPr="00C16F75">
        <w:t>Oberhofer</w:t>
      </w:r>
      <w:r w:rsidR="00502A89">
        <w:t xml:space="preserve"> moved to </w:t>
      </w:r>
      <w:r w:rsidR="007371E0">
        <w:t>recommend approval of</w:t>
      </w:r>
      <w:r w:rsidR="001A4BDC">
        <w:t xml:space="preserve"> the </w:t>
      </w:r>
      <w:r w:rsidR="007D25C6">
        <w:t>modifications to the Business AAS Degree, the Marketing Certificate, the Management Certificate, the Entrepreneurship and Small Business Management Concentration, and the Global Logistics Concentration, as well as the course modification for LOG 115 and the new course proposal</w:t>
      </w:r>
      <w:r w:rsidR="001A4BDC">
        <w:t xml:space="preserve"> </w:t>
      </w:r>
      <w:r w:rsidR="007D25C6">
        <w:t>for BUS 260</w:t>
      </w:r>
      <w:r w:rsidR="00714710">
        <w:t xml:space="preserve">.  </w:t>
      </w:r>
      <w:r w:rsidR="00502A89">
        <w:t xml:space="preserve">Tracey </w:t>
      </w:r>
      <w:proofErr w:type="spellStart"/>
      <w:r w:rsidR="00502A89">
        <w:t>Ushman</w:t>
      </w:r>
      <w:proofErr w:type="spellEnd"/>
      <w:r w:rsidR="001504E7">
        <w:t xml:space="preserve"> seconded the motion</w:t>
      </w:r>
      <w:r w:rsidR="00502A89">
        <w:t xml:space="preserve">.  Mary Jane </w:t>
      </w:r>
      <w:r w:rsidR="001504E7">
        <w:t xml:space="preserve">Oberhofer </w:t>
      </w:r>
      <w:r w:rsidR="00502A89">
        <w:t>explained tha</w:t>
      </w:r>
      <w:r w:rsidR="007D25C6">
        <w:t xml:space="preserve">t </w:t>
      </w:r>
      <w:r w:rsidR="00714710">
        <w:t>none of the changes are major; most of them</w:t>
      </w:r>
      <w:r w:rsidR="00797DA4">
        <w:t xml:space="preserve"> involve simply moving courses into other areas</w:t>
      </w:r>
      <w:r w:rsidR="001504E7">
        <w:t xml:space="preserve">.  </w:t>
      </w:r>
      <w:r w:rsidR="00797DA4">
        <w:t>There are no changes in</w:t>
      </w:r>
      <w:r w:rsidR="007A5A2A">
        <w:t xml:space="preserve"> the Customer Service </w:t>
      </w:r>
      <w:r w:rsidR="00714710">
        <w:t>C</w:t>
      </w:r>
      <w:r w:rsidR="007A5A2A">
        <w:t>ertificate</w:t>
      </w:r>
      <w:r w:rsidR="007D25C6">
        <w:t xml:space="preserve">.  </w:t>
      </w:r>
      <w:r w:rsidR="007A5A2A">
        <w:t>In t</w:t>
      </w:r>
      <w:r w:rsidR="007D25C6">
        <w:t>he Mark</w:t>
      </w:r>
      <w:r w:rsidR="007A5A2A">
        <w:t>eting Certificate, Retailing Management</w:t>
      </w:r>
      <w:r w:rsidR="007D25C6">
        <w:t xml:space="preserve"> </w:t>
      </w:r>
      <w:r w:rsidR="007A5A2A">
        <w:t xml:space="preserve">is being replaced </w:t>
      </w:r>
      <w:r w:rsidR="00714710">
        <w:t>with</w:t>
      </w:r>
      <w:r w:rsidR="007D25C6">
        <w:t xml:space="preserve"> Social Media </w:t>
      </w:r>
      <w:r w:rsidR="00714710">
        <w:t>for Business</w:t>
      </w:r>
      <w:r w:rsidR="007A5A2A">
        <w:t xml:space="preserve"> because</w:t>
      </w:r>
      <w:r w:rsidR="007D25C6">
        <w:t xml:space="preserve"> </w:t>
      </w:r>
      <w:r w:rsidR="007A5A2A">
        <w:t xml:space="preserve">only one of the concentrations requires Retailing Management, whereas </w:t>
      </w:r>
      <w:r w:rsidR="007D25C6">
        <w:t xml:space="preserve">all students </w:t>
      </w:r>
      <w:r w:rsidR="007A5A2A">
        <w:t>need to know about social media</w:t>
      </w:r>
      <w:r w:rsidR="00797DA4">
        <w:t xml:space="preserve">; </w:t>
      </w:r>
      <w:r w:rsidR="00EB19E2">
        <w:t>this results in</w:t>
      </w:r>
      <w:r w:rsidR="007D25C6">
        <w:t xml:space="preserve"> a </w:t>
      </w:r>
      <w:r w:rsidR="007A5A2A">
        <w:t xml:space="preserve">net </w:t>
      </w:r>
      <w:r w:rsidR="007D25C6">
        <w:t>reduction of two credits</w:t>
      </w:r>
      <w:r w:rsidR="00714710">
        <w:t xml:space="preserve"> for this certificate</w:t>
      </w:r>
      <w:r w:rsidR="007D25C6">
        <w:t xml:space="preserve">.  In </w:t>
      </w:r>
      <w:r w:rsidR="00797DA4">
        <w:t xml:space="preserve">the Management Certificate, </w:t>
      </w:r>
      <w:r w:rsidR="00F22740">
        <w:t>classical</w:t>
      </w:r>
      <w:r w:rsidR="00B73958">
        <w:t xml:space="preserve"> A</w:t>
      </w:r>
      <w:r w:rsidR="0062134A">
        <w:t>ccounting</w:t>
      </w:r>
      <w:r w:rsidR="007A5A2A">
        <w:t xml:space="preserve"> </w:t>
      </w:r>
      <w:r w:rsidR="00797DA4">
        <w:t xml:space="preserve">is being replaced </w:t>
      </w:r>
      <w:r w:rsidR="007A5A2A">
        <w:t xml:space="preserve">with </w:t>
      </w:r>
      <w:r w:rsidR="00B73958">
        <w:t>the</w:t>
      </w:r>
      <w:r w:rsidR="007A5A2A">
        <w:t xml:space="preserve"> new Introduction to Project Management</w:t>
      </w:r>
      <w:r w:rsidR="007D25C6">
        <w:t xml:space="preserve"> </w:t>
      </w:r>
      <w:r w:rsidR="007A5A2A">
        <w:t xml:space="preserve">class </w:t>
      </w:r>
      <w:r w:rsidR="00B73958">
        <w:t xml:space="preserve">in order </w:t>
      </w:r>
      <w:r w:rsidR="007A5A2A">
        <w:t xml:space="preserve">to keep all </w:t>
      </w:r>
      <w:r w:rsidR="00B73958">
        <w:t>the</w:t>
      </w:r>
      <w:r w:rsidR="007A5A2A">
        <w:t xml:space="preserve"> </w:t>
      </w:r>
      <w:r w:rsidR="00F22740">
        <w:t>M</w:t>
      </w:r>
      <w:r w:rsidR="007A5A2A">
        <w:t>anagement classes together in th</w:t>
      </w:r>
      <w:r w:rsidR="00B73958">
        <w:t>e</w:t>
      </w:r>
      <w:r w:rsidR="007A5A2A">
        <w:t xml:space="preserve"> </w:t>
      </w:r>
      <w:r w:rsidR="0062134A">
        <w:t>Management C</w:t>
      </w:r>
      <w:r w:rsidR="007A5A2A">
        <w:t xml:space="preserve">ertificate.  </w:t>
      </w:r>
      <w:r w:rsidR="00B73958">
        <w:t xml:space="preserve">The new BUS 260 (Small Business Operations) is being added to the Entrepreneurship Certificate.  </w:t>
      </w:r>
      <w:r w:rsidR="00EB19E2">
        <w:t>This makes</w:t>
      </w:r>
      <w:r w:rsidR="00B73958">
        <w:t xml:space="preserve"> the number of credits in </w:t>
      </w:r>
      <w:r w:rsidR="00EB19E2">
        <w:t>these two</w:t>
      </w:r>
      <w:r w:rsidR="00B73958">
        <w:t xml:space="preserve"> specialization</w:t>
      </w:r>
      <w:r w:rsidR="00EB19E2">
        <w:t>s</w:t>
      </w:r>
      <w:r w:rsidR="00B73958">
        <w:t xml:space="preserve"> more even</w:t>
      </w:r>
      <w:r w:rsidR="00E323D2">
        <w:t>:  t</w:t>
      </w:r>
      <w:r w:rsidR="00EB19E2">
        <w:t xml:space="preserve">he </w:t>
      </w:r>
      <w:r w:rsidR="0062134A">
        <w:t>Global Logistics Concentration</w:t>
      </w:r>
      <w:r w:rsidR="00B73958">
        <w:t xml:space="preserve"> had</w:t>
      </w:r>
      <w:r w:rsidR="0062134A">
        <w:t xml:space="preserve"> 97</w:t>
      </w:r>
      <w:r w:rsidR="00B73958">
        <w:t xml:space="preserve"> credits,</w:t>
      </w:r>
      <w:r w:rsidR="0062134A">
        <w:t xml:space="preserve"> </w:t>
      </w:r>
      <w:r w:rsidR="00B73958">
        <w:t xml:space="preserve">while the </w:t>
      </w:r>
      <w:r w:rsidR="0062134A">
        <w:t xml:space="preserve">Entrepreneurship </w:t>
      </w:r>
      <w:r w:rsidR="00B73958">
        <w:t xml:space="preserve">concentration had only 90; however, with </w:t>
      </w:r>
      <w:r w:rsidR="00EB19E2">
        <w:t xml:space="preserve">these changes, and with </w:t>
      </w:r>
      <w:r w:rsidR="00B73958">
        <w:t>Logistics 115 being changed to three credits,</w:t>
      </w:r>
      <w:r w:rsidR="0062134A">
        <w:t xml:space="preserve"> Entrepre</w:t>
      </w:r>
      <w:r w:rsidR="00B73958">
        <w:t xml:space="preserve">neurship is now </w:t>
      </w:r>
      <w:r w:rsidR="00E323D2">
        <w:t xml:space="preserve">at </w:t>
      </w:r>
      <w:r w:rsidR="00B73958">
        <w:t xml:space="preserve">93 credits and </w:t>
      </w:r>
      <w:r w:rsidR="0062134A">
        <w:t>Global Logisti</w:t>
      </w:r>
      <w:r w:rsidR="00E323D2">
        <w:t>cs</w:t>
      </w:r>
      <w:r w:rsidR="00797DA4">
        <w:t xml:space="preserve"> </w:t>
      </w:r>
      <w:r w:rsidR="00E323D2">
        <w:t>at 94</w:t>
      </w:r>
      <w:r w:rsidR="00E65094">
        <w:t>.</w:t>
      </w:r>
    </w:p>
    <w:p w14:paraId="6C57B080" w14:textId="77777777" w:rsidR="00E65094" w:rsidRPr="00E65094" w:rsidRDefault="00E65094" w:rsidP="00E65094">
      <w:pPr>
        <w:pStyle w:val="ListParagraph"/>
        <w:spacing w:line="240" w:lineRule="auto"/>
        <w:ind w:left="1080"/>
      </w:pPr>
    </w:p>
    <w:p w14:paraId="09B95D91" w14:textId="0035CF01" w:rsidR="00797DA4" w:rsidRDefault="00797DA4" w:rsidP="00674A17">
      <w:pPr>
        <w:pStyle w:val="ListParagraph"/>
        <w:spacing w:line="240" w:lineRule="auto"/>
        <w:ind w:left="1080"/>
      </w:pPr>
      <w:r>
        <w:t xml:space="preserve">Phil </w:t>
      </w:r>
      <w:r w:rsidR="00B73958">
        <w:t xml:space="preserve">Hunter </w:t>
      </w:r>
      <w:r w:rsidR="00F22740">
        <w:t>asked</w:t>
      </w:r>
      <w:r w:rsidR="00B73958">
        <w:t xml:space="preserve"> about the new</w:t>
      </w:r>
      <w:r>
        <w:t xml:space="preserve"> BUS 260</w:t>
      </w:r>
      <w:r w:rsidR="00B73958">
        <w:t xml:space="preserve"> course</w:t>
      </w:r>
      <w:r>
        <w:t xml:space="preserve">, and Mary Jane </w:t>
      </w:r>
      <w:r w:rsidR="00B73958">
        <w:t xml:space="preserve">explained that it entails the application of the material introduced in </w:t>
      </w:r>
      <w:r>
        <w:t xml:space="preserve">BUS 160, so </w:t>
      </w:r>
      <w:r w:rsidR="00EB19E2">
        <w:t xml:space="preserve">it includes </w:t>
      </w:r>
      <w:r>
        <w:t>more interaction with local business</w:t>
      </w:r>
      <w:r w:rsidR="00E323D2">
        <w:t>es</w:t>
      </w:r>
      <w:r w:rsidR="00EB19E2">
        <w:t xml:space="preserve">, </w:t>
      </w:r>
      <w:r>
        <w:t xml:space="preserve">doing </w:t>
      </w:r>
      <w:r w:rsidR="00EB19E2">
        <w:t xml:space="preserve">projects that require </w:t>
      </w:r>
      <w:r>
        <w:t>teamwork</w:t>
      </w:r>
      <w:r w:rsidR="00EB19E2">
        <w:t>,</w:t>
      </w:r>
      <w:r>
        <w:t xml:space="preserve"> and actually coming up with</w:t>
      </w:r>
      <w:r w:rsidR="00EB19E2">
        <w:t xml:space="preserve"> potential</w:t>
      </w:r>
      <w:r>
        <w:t xml:space="preserve"> </w:t>
      </w:r>
      <w:r w:rsidR="00EB19E2">
        <w:t>b</w:t>
      </w:r>
      <w:r>
        <w:t>usiness concept</w:t>
      </w:r>
      <w:r w:rsidR="00EB19E2">
        <w:t>s</w:t>
      </w:r>
      <w:r>
        <w:t xml:space="preserve">.  Tracey </w:t>
      </w:r>
      <w:proofErr w:type="spellStart"/>
      <w:r>
        <w:t>Ushman</w:t>
      </w:r>
      <w:proofErr w:type="spellEnd"/>
      <w:r>
        <w:t xml:space="preserve"> asked if Retailing Management</w:t>
      </w:r>
      <w:r w:rsidR="00EB19E2">
        <w:t>, which is being replaced by Social Media for Business,</w:t>
      </w:r>
      <w:r w:rsidR="00E323D2">
        <w:t xml:space="preserve"> will</w:t>
      </w:r>
      <w:r>
        <w:t xml:space="preserve"> be deleted.  Mary Jane explained </w:t>
      </w:r>
      <w:r w:rsidR="00EB19E2">
        <w:t xml:space="preserve">since there are </w:t>
      </w:r>
      <w:r>
        <w:t xml:space="preserve">students currently </w:t>
      </w:r>
      <w:r w:rsidR="00EB19E2">
        <w:t xml:space="preserve">in programs that </w:t>
      </w:r>
      <w:r>
        <w:t>still require</w:t>
      </w:r>
      <w:r w:rsidR="00EB19E2">
        <w:t xml:space="preserve"> it, the course will be kept</w:t>
      </w:r>
      <w:r>
        <w:t xml:space="preserve"> on the books for a coup</w:t>
      </w:r>
      <w:r w:rsidR="00EB19E2">
        <w:t>le more years</w:t>
      </w:r>
      <w:r>
        <w:t>.</w:t>
      </w:r>
      <w:r w:rsidR="00EB19E2">
        <w:t xml:space="preserve">  The motion carried.</w:t>
      </w:r>
    </w:p>
    <w:p w14:paraId="1609019E" w14:textId="77777777" w:rsidR="0079659A" w:rsidRDefault="0079659A" w:rsidP="00674A17">
      <w:pPr>
        <w:spacing w:line="240" w:lineRule="auto"/>
        <w:rPr>
          <w:sz w:val="16"/>
          <w:szCs w:val="16"/>
        </w:rPr>
      </w:pPr>
    </w:p>
    <w:p w14:paraId="408DB090" w14:textId="0FAD5AB6" w:rsidR="00264840" w:rsidRPr="00502A89" w:rsidRDefault="00B81241" w:rsidP="00674A17">
      <w:pPr>
        <w:pStyle w:val="ListParagraph"/>
        <w:numPr>
          <w:ilvl w:val="0"/>
          <w:numId w:val="4"/>
        </w:numPr>
        <w:spacing w:line="240" w:lineRule="auto"/>
        <w:rPr>
          <w:b/>
        </w:rPr>
      </w:pPr>
      <w:r w:rsidRPr="00502A89">
        <w:rPr>
          <w:b/>
        </w:rPr>
        <w:t>Chemistry Pathways Redesign Project</w:t>
      </w:r>
    </w:p>
    <w:p w14:paraId="087DB470" w14:textId="78D5FF33" w:rsidR="00B81241" w:rsidRDefault="00B81241" w:rsidP="00674A17">
      <w:pPr>
        <w:pStyle w:val="ListParagraph"/>
        <w:numPr>
          <w:ilvl w:val="1"/>
          <w:numId w:val="4"/>
        </w:numPr>
        <w:spacing w:line="240" w:lineRule="auto"/>
      </w:pPr>
      <w:r>
        <w:t>New course: CHEM&amp; 140</w:t>
      </w:r>
    </w:p>
    <w:p w14:paraId="44AC433C" w14:textId="44DB4BAA" w:rsidR="00B81241" w:rsidRDefault="00DD1D14" w:rsidP="00674A17">
      <w:pPr>
        <w:pStyle w:val="ListParagraph"/>
        <w:numPr>
          <w:ilvl w:val="1"/>
          <w:numId w:val="4"/>
        </w:numPr>
        <w:spacing w:line="240" w:lineRule="auto"/>
      </w:pPr>
      <w:r>
        <w:t>Modification to</w:t>
      </w:r>
    </w:p>
    <w:p w14:paraId="2BF28EDA" w14:textId="0B3F2ED2" w:rsidR="00DD1D14" w:rsidRDefault="00DD1D14" w:rsidP="00674A17">
      <w:pPr>
        <w:pStyle w:val="ListParagraph"/>
        <w:numPr>
          <w:ilvl w:val="2"/>
          <w:numId w:val="4"/>
        </w:numPr>
        <w:spacing w:line="240" w:lineRule="auto"/>
      </w:pPr>
      <w:r>
        <w:t>CHEM&amp; 110</w:t>
      </w:r>
    </w:p>
    <w:p w14:paraId="11F3DD33" w14:textId="5E00C579" w:rsidR="00DD1D14" w:rsidRDefault="00DD1D14" w:rsidP="00674A17">
      <w:pPr>
        <w:pStyle w:val="ListParagraph"/>
        <w:numPr>
          <w:ilvl w:val="2"/>
          <w:numId w:val="4"/>
        </w:numPr>
        <w:spacing w:line="240" w:lineRule="auto"/>
      </w:pPr>
      <w:r>
        <w:t>CHEM&amp; 121</w:t>
      </w:r>
    </w:p>
    <w:p w14:paraId="5EA49D34" w14:textId="655122C0" w:rsidR="00DD1D14" w:rsidRDefault="00DD1D14" w:rsidP="00674A17">
      <w:pPr>
        <w:pStyle w:val="ListParagraph"/>
        <w:numPr>
          <w:ilvl w:val="2"/>
          <w:numId w:val="4"/>
        </w:numPr>
        <w:spacing w:line="240" w:lineRule="auto"/>
      </w:pPr>
      <w:r>
        <w:t>CHEM&amp; 161</w:t>
      </w:r>
    </w:p>
    <w:p w14:paraId="74AF07BF" w14:textId="67FDF76B" w:rsidR="009214E6" w:rsidRDefault="009214E6" w:rsidP="00674A17">
      <w:pPr>
        <w:pStyle w:val="ListParagraph"/>
        <w:numPr>
          <w:ilvl w:val="2"/>
          <w:numId w:val="4"/>
        </w:numPr>
        <w:spacing w:line="240" w:lineRule="auto"/>
      </w:pPr>
      <w:r>
        <w:t>BIOL&amp; 160</w:t>
      </w:r>
    </w:p>
    <w:p w14:paraId="1509B9D0" w14:textId="3F80A371" w:rsidR="009214E6" w:rsidRDefault="009214E6" w:rsidP="00674A17">
      <w:pPr>
        <w:pStyle w:val="ListParagraph"/>
        <w:numPr>
          <w:ilvl w:val="2"/>
          <w:numId w:val="4"/>
        </w:numPr>
        <w:spacing w:line="240" w:lineRule="auto"/>
      </w:pPr>
      <w:r>
        <w:lastRenderedPageBreak/>
        <w:t>BIOL&amp; 241</w:t>
      </w:r>
    </w:p>
    <w:p w14:paraId="081ADB4A" w14:textId="6CEF2485" w:rsidR="008F3743" w:rsidRDefault="00502A89" w:rsidP="00674A17">
      <w:pPr>
        <w:tabs>
          <w:tab w:val="left" w:pos="1080"/>
        </w:tabs>
        <w:spacing w:line="240" w:lineRule="auto"/>
        <w:ind w:left="720"/>
      </w:pPr>
      <w:r>
        <w:t xml:space="preserve">Heather </w:t>
      </w:r>
      <w:r w:rsidRPr="00502A89">
        <w:t>Cushman</w:t>
      </w:r>
      <w:r>
        <w:rPr>
          <w:color w:val="FF0000"/>
        </w:rPr>
        <w:t xml:space="preserve"> </w:t>
      </w:r>
      <w:r>
        <w:t>moved to</w:t>
      </w:r>
      <w:r w:rsidR="008F10A4">
        <w:t xml:space="preserve"> </w:t>
      </w:r>
      <w:r w:rsidR="007371E0">
        <w:t>recommend approval of</w:t>
      </w:r>
      <w:r>
        <w:t xml:space="preserve"> </w:t>
      </w:r>
      <w:r w:rsidR="008F10A4">
        <w:t>the Chemistry pathways redesign project</w:t>
      </w:r>
      <w:r w:rsidR="00B87DA0">
        <w:t>, including</w:t>
      </w:r>
      <w:r w:rsidR="008F10A4">
        <w:t xml:space="preserve"> approval of the new CHEM&amp; 140 course</w:t>
      </w:r>
      <w:r w:rsidR="00E323D2">
        <w:t xml:space="preserve"> and the course modifications for</w:t>
      </w:r>
      <w:r w:rsidR="008F10A4">
        <w:t xml:space="preserve"> CHEM&amp; 110, CHEM&amp; 121, CHEM&amp; 161, BIOL&amp; 160, and B</w:t>
      </w:r>
      <w:r w:rsidR="00B87DA0">
        <w:t>IO</w:t>
      </w:r>
      <w:r w:rsidR="00E323D2">
        <w:t>L&amp; 241</w:t>
      </w:r>
      <w:r w:rsidR="00F22740">
        <w:t xml:space="preserve">.  </w:t>
      </w:r>
      <w:r>
        <w:t>Craig Cowden</w:t>
      </w:r>
      <w:r w:rsidR="00F22740">
        <w:t xml:space="preserve"> seconded the motion</w:t>
      </w:r>
      <w:r>
        <w:t xml:space="preserve">.  Katie </w:t>
      </w:r>
      <w:proofErr w:type="spellStart"/>
      <w:r>
        <w:t>Gulliford</w:t>
      </w:r>
      <w:proofErr w:type="spellEnd"/>
      <w:r>
        <w:t xml:space="preserve"> explained that</w:t>
      </w:r>
      <w:r w:rsidR="008F10A4">
        <w:t xml:space="preserve"> this redesign project was the result of pathways work </w:t>
      </w:r>
      <w:r w:rsidR="00E323D2">
        <w:t>undertaken</w:t>
      </w:r>
      <w:r w:rsidR="008F10A4">
        <w:t xml:space="preserve"> to make sure students got into the correct co</w:t>
      </w:r>
      <w:r w:rsidR="00E323D2">
        <w:t>urse at the right time.  Currently</w:t>
      </w:r>
      <w:r w:rsidR="008F10A4">
        <w:t xml:space="preserve">, CHEM&amp; 110 serves three different areas: </w:t>
      </w:r>
      <w:proofErr w:type="spellStart"/>
      <w:r w:rsidR="008F10A4">
        <w:t>GenEd</w:t>
      </w:r>
      <w:proofErr w:type="spellEnd"/>
      <w:r w:rsidR="008F10A4">
        <w:t>, Allied Health, and STEM majors</w:t>
      </w:r>
      <w:r w:rsidR="00C332C6">
        <w:t>;</w:t>
      </w:r>
      <w:r w:rsidR="008F10A4">
        <w:t xml:space="preserve"> CHEM&amp; 121 serves both Allied Health and STEM majors</w:t>
      </w:r>
      <w:r w:rsidR="00C332C6">
        <w:t>;</w:t>
      </w:r>
      <w:r w:rsidR="00E323D2">
        <w:t xml:space="preserve"> and</w:t>
      </w:r>
      <w:r w:rsidR="008F10A4">
        <w:t xml:space="preserve"> STEM majors </w:t>
      </w:r>
      <w:r w:rsidR="00E323D2">
        <w:t>take</w:t>
      </w:r>
      <w:r w:rsidR="008F10A4">
        <w:t xml:space="preserve"> CHEM&amp; 161, which is General </w:t>
      </w:r>
      <w:r w:rsidR="00B87DA0">
        <w:t>C</w:t>
      </w:r>
      <w:r w:rsidR="008F10A4">
        <w:t xml:space="preserve">hemistry.  </w:t>
      </w:r>
      <w:r w:rsidR="00C332C6">
        <w:t xml:space="preserve">A statewide </w:t>
      </w:r>
      <w:r w:rsidR="008F10A4">
        <w:t>sur</w:t>
      </w:r>
      <w:r w:rsidR="00706B83">
        <w:t xml:space="preserve">vey </w:t>
      </w:r>
      <w:r w:rsidR="00C332C6">
        <w:t xml:space="preserve">showed that TCC was </w:t>
      </w:r>
      <w:r w:rsidR="008F10A4">
        <w:t xml:space="preserve">one of </w:t>
      </w:r>
      <w:r w:rsidR="00C332C6">
        <w:t xml:space="preserve">only </w:t>
      </w:r>
      <w:r w:rsidR="008F10A4">
        <w:t xml:space="preserve">two schools in the entire state that had a </w:t>
      </w:r>
      <w:r w:rsidR="00706B83">
        <w:t xml:space="preserve">preparatory class for CHEM&amp; 121, which </w:t>
      </w:r>
      <w:r w:rsidR="00C332C6">
        <w:t>serves</w:t>
      </w:r>
      <w:r w:rsidR="00706B83">
        <w:t xml:space="preserve"> Allied Health, and </w:t>
      </w:r>
      <w:r w:rsidR="00C332C6">
        <w:t xml:space="preserve">TCC was </w:t>
      </w:r>
      <w:r w:rsidR="00706B83">
        <w:t xml:space="preserve">the only </w:t>
      </w:r>
      <w:r w:rsidR="00C332C6">
        <w:t>school in the state</w:t>
      </w:r>
      <w:r w:rsidR="00706B83">
        <w:t xml:space="preserve"> that had </w:t>
      </w:r>
      <w:r w:rsidR="00B87DA0">
        <w:t xml:space="preserve">two </w:t>
      </w:r>
      <w:r w:rsidR="00E323D2">
        <w:t>preparatory courses for</w:t>
      </w:r>
      <w:r w:rsidR="00706B83">
        <w:t xml:space="preserve"> Gen</w:t>
      </w:r>
      <w:r w:rsidR="00E323D2">
        <w:t>eral</w:t>
      </w:r>
      <w:r w:rsidR="00706B83">
        <w:t xml:space="preserve"> Chem</w:t>
      </w:r>
      <w:r w:rsidR="00E323D2">
        <w:t>istry</w:t>
      </w:r>
      <w:r w:rsidR="00C332C6">
        <w:t xml:space="preserve">.  Thus, </w:t>
      </w:r>
      <w:r w:rsidR="00B87DA0">
        <w:t>those three trac</w:t>
      </w:r>
      <w:r w:rsidR="00C332C6">
        <w:t>ks</w:t>
      </w:r>
      <w:r w:rsidR="00B87DA0">
        <w:t xml:space="preserve"> </w:t>
      </w:r>
      <w:r w:rsidR="00E323D2">
        <w:t xml:space="preserve">were separated </w:t>
      </w:r>
      <w:r w:rsidR="00B87DA0">
        <w:t>so that C</w:t>
      </w:r>
      <w:r w:rsidR="00C332C6">
        <w:t>HEM&amp;</w:t>
      </w:r>
      <w:r w:rsidR="00B87DA0">
        <w:t xml:space="preserve"> 110 would serve only </w:t>
      </w:r>
      <w:proofErr w:type="spellStart"/>
      <w:r w:rsidR="00B87DA0">
        <w:t>GenEd</w:t>
      </w:r>
      <w:proofErr w:type="spellEnd"/>
      <w:r w:rsidR="00B87DA0">
        <w:t xml:space="preserve"> students, C</w:t>
      </w:r>
      <w:r w:rsidR="00C332C6">
        <w:t>HEM&amp;</w:t>
      </w:r>
      <w:r w:rsidR="00B87DA0">
        <w:t xml:space="preserve"> 121 would no longer have a chemistry prerequisite and </w:t>
      </w:r>
      <w:r w:rsidR="00F22740">
        <w:t xml:space="preserve">would </w:t>
      </w:r>
      <w:r w:rsidR="00B87DA0">
        <w:t>serve only Allied Health</w:t>
      </w:r>
      <w:r w:rsidR="00C332C6">
        <w:t xml:space="preserve"> students</w:t>
      </w:r>
      <w:r w:rsidR="00B87DA0">
        <w:t xml:space="preserve">, and </w:t>
      </w:r>
      <w:r w:rsidR="00C332C6">
        <w:t>CHEM&amp; 161</w:t>
      </w:r>
      <w:r w:rsidR="00F22740">
        <w:t>, for STEM majors,</w:t>
      </w:r>
      <w:r w:rsidR="00B87DA0">
        <w:t xml:space="preserve"> would </w:t>
      </w:r>
      <w:r w:rsidR="00C332C6">
        <w:t>end up with a single prerequisite</w:t>
      </w:r>
      <w:r w:rsidR="00B87DA0">
        <w:t xml:space="preserve"> (C</w:t>
      </w:r>
      <w:r w:rsidR="00C332C6">
        <w:t>HEM&amp; 140).  This would result in s</w:t>
      </w:r>
      <w:r w:rsidR="00B87DA0">
        <w:t xml:space="preserve">ome students </w:t>
      </w:r>
      <w:r w:rsidR="00C332C6">
        <w:t>having</w:t>
      </w:r>
      <w:r w:rsidR="00E323D2">
        <w:t xml:space="preserve"> one</w:t>
      </w:r>
      <w:r w:rsidR="00B87DA0">
        <w:t xml:space="preserve"> class </w:t>
      </w:r>
      <w:r w:rsidR="00E323D2">
        <w:t xml:space="preserve">fewer </w:t>
      </w:r>
      <w:r w:rsidR="00B87DA0">
        <w:t>overall, while others would have two cl</w:t>
      </w:r>
      <w:r w:rsidR="00E323D2">
        <w:t>asses fewer.</w:t>
      </w:r>
      <w:r w:rsidR="00C332C6">
        <w:t xml:space="preserve">  </w:t>
      </w:r>
      <w:r w:rsidR="00F22740">
        <w:t>This means</w:t>
      </w:r>
      <w:r w:rsidR="00C652EB">
        <w:t xml:space="preserve"> changing the prerequisite</w:t>
      </w:r>
      <w:r w:rsidR="00C332C6">
        <w:t xml:space="preserve"> </w:t>
      </w:r>
      <w:r w:rsidR="00E323D2">
        <w:t>for</w:t>
      </w:r>
      <w:r w:rsidR="00C332C6">
        <w:t xml:space="preserve"> </w:t>
      </w:r>
      <w:r w:rsidR="00C652EB">
        <w:t xml:space="preserve">Biology 160 </w:t>
      </w:r>
      <w:r w:rsidR="00B87DA0">
        <w:t xml:space="preserve">(Intro to Cell Biology, which feeds into all the upper level Biology courses) </w:t>
      </w:r>
      <w:r w:rsidR="00C652EB">
        <w:t>and BIOL 241 (the first quarter of Anatomy &amp; Physiology) to CHEM&amp; 121.</w:t>
      </w:r>
      <w:r w:rsidR="00F22740">
        <w:t xml:space="preserve">  This would</w:t>
      </w:r>
      <w:r w:rsidR="00B87DA0">
        <w:t xml:space="preserve"> separate </w:t>
      </w:r>
      <w:proofErr w:type="spellStart"/>
      <w:r w:rsidR="00C652EB">
        <w:t>GenEd</w:t>
      </w:r>
      <w:proofErr w:type="spellEnd"/>
      <w:r w:rsidR="00C652EB">
        <w:t xml:space="preserve"> and</w:t>
      </w:r>
      <w:r w:rsidR="00B87DA0">
        <w:t xml:space="preserve"> Allied Health students into separate tracks. </w:t>
      </w:r>
    </w:p>
    <w:p w14:paraId="76E93BCB" w14:textId="77777777" w:rsidR="00502A89" w:rsidRPr="00C652EB" w:rsidRDefault="00502A89" w:rsidP="00674A17">
      <w:pPr>
        <w:tabs>
          <w:tab w:val="left" w:pos="1080"/>
        </w:tabs>
        <w:spacing w:line="240" w:lineRule="auto"/>
        <w:ind w:left="720"/>
        <w:rPr>
          <w:sz w:val="16"/>
          <w:szCs w:val="16"/>
        </w:rPr>
      </w:pPr>
    </w:p>
    <w:p w14:paraId="714AD74F" w14:textId="2D59066B" w:rsidR="00C332C6" w:rsidRDefault="00C332C6" w:rsidP="00674A17">
      <w:pPr>
        <w:tabs>
          <w:tab w:val="left" w:pos="1080"/>
        </w:tabs>
        <w:spacing w:line="240" w:lineRule="auto"/>
        <w:ind w:left="720"/>
      </w:pPr>
      <w:r>
        <w:t xml:space="preserve">Phil Hunter asked </w:t>
      </w:r>
      <w:r w:rsidR="00C652EB">
        <w:t xml:space="preserve">about the effect </w:t>
      </w:r>
      <w:r w:rsidR="00E323D2">
        <w:t xml:space="preserve">this would have </w:t>
      </w:r>
      <w:r w:rsidR="00C652EB">
        <w:t>on</w:t>
      </w:r>
      <w:r>
        <w:t xml:space="preserve"> Allied Health programs.  Katie </w:t>
      </w:r>
      <w:proofErr w:type="spellStart"/>
      <w:r w:rsidR="00E323D2">
        <w:t>Gulliford</w:t>
      </w:r>
      <w:proofErr w:type="spellEnd"/>
      <w:r w:rsidR="00E323D2">
        <w:t xml:space="preserve"> </w:t>
      </w:r>
      <w:r>
        <w:t xml:space="preserve">responded that they </w:t>
      </w:r>
      <w:r w:rsidR="00C652EB">
        <w:t xml:space="preserve">had carefully </w:t>
      </w:r>
      <w:r>
        <w:t xml:space="preserve">checked </w:t>
      </w:r>
      <w:r w:rsidR="00E323D2">
        <w:t>to find out</w:t>
      </w:r>
      <w:r>
        <w:t xml:space="preserve"> what classes were affected, and </w:t>
      </w:r>
      <w:r w:rsidR="00E323D2">
        <w:t xml:space="preserve">they </w:t>
      </w:r>
      <w:r w:rsidR="00F22740">
        <w:t xml:space="preserve">had </w:t>
      </w:r>
      <w:r>
        <w:t xml:space="preserve">communicated with Allied Health on the changes.  </w:t>
      </w:r>
      <w:r w:rsidR="00C652EB">
        <w:t xml:space="preserve">Nursing was also notified that </w:t>
      </w:r>
      <w:r>
        <w:t>pre-nursing students</w:t>
      </w:r>
      <w:r w:rsidR="00C652EB">
        <w:t xml:space="preserve"> woul</w:t>
      </w:r>
      <w:r>
        <w:t>d no longer need to take C</w:t>
      </w:r>
      <w:r w:rsidR="00C652EB">
        <w:t>HEM&amp;</w:t>
      </w:r>
      <w:r>
        <w:t xml:space="preserve"> 110.  Jeff Calkins asked if they had done due diligence in identifying all courses that would be affected by these changes, and Ka</w:t>
      </w:r>
      <w:r w:rsidR="00C652EB">
        <w:t>tie assured him that they had.  The motion carried.</w:t>
      </w:r>
    </w:p>
    <w:p w14:paraId="13EF4BF5" w14:textId="77777777" w:rsidR="009E279E" w:rsidRDefault="009E279E" w:rsidP="00674A17">
      <w:pPr>
        <w:pStyle w:val="ListParagraph"/>
        <w:spacing w:line="240" w:lineRule="auto"/>
        <w:rPr>
          <w:b/>
        </w:rPr>
      </w:pPr>
    </w:p>
    <w:p w14:paraId="6EA0BC8D" w14:textId="77777777" w:rsidR="00405F20" w:rsidRPr="00892E07" w:rsidRDefault="00405F20" w:rsidP="00674A17">
      <w:pPr>
        <w:pStyle w:val="ListParagraph"/>
        <w:numPr>
          <w:ilvl w:val="0"/>
          <w:numId w:val="4"/>
        </w:numPr>
        <w:spacing w:line="240" w:lineRule="auto"/>
        <w:rPr>
          <w:b/>
        </w:rPr>
      </w:pPr>
      <w:r w:rsidRPr="00892E07">
        <w:rPr>
          <w:b/>
        </w:rPr>
        <w:t>New Courses</w:t>
      </w:r>
    </w:p>
    <w:p w14:paraId="276E58BF" w14:textId="77777777" w:rsidR="00405F20" w:rsidRPr="00892E07" w:rsidRDefault="00405F20" w:rsidP="00674A17">
      <w:pPr>
        <w:pStyle w:val="ListParagraph"/>
        <w:numPr>
          <w:ilvl w:val="1"/>
          <w:numId w:val="4"/>
        </w:numPr>
        <w:spacing w:line="240" w:lineRule="auto"/>
        <w:rPr>
          <w:b/>
        </w:rPr>
      </w:pPr>
      <w:r w:rsidRPr="00892E07">
        <w:rPr>
          <w:b/>
        </w:rPr>
        <w:t>SOC 200 Introduction to Research Methods for Sociologists</w:t>
      </w:r>
    </w:p>
    <w:p w14:paraId="114EEB6A" w14:textId="6AAE8DE0" w:rsidR="00E65094" w:rsidRPr="00E65094" w:rsidRDefault="00502A89" w:rsidP="00E65094">
      <w:pPr>
        <w:spacing w:line="240" w:lineRule="auto"/>
        <w:ind w:left="1080"/>
      </w:pPr>
      <w:r>
        <w:t>Craig Cowden moved to recommend approval</w:t>
      </w:r>
      <w:r w:rsidR="007371E0">
        <w:t xml:space="preserve"> of SOC 200</w:t>
      </w:r>
      <w:r w:rsidR="00F22740">
        <w:t xml:space="preserve">, and </w:t>
      </w:r>
      <w:r>
        <w:t>Jeff Calkins</w:t>
      </w:r>
      <w:r w:rsidR="00F22740">
        <w:t xml:space="preserve"> seconded the motion</w:t>
      </w:r>
      <w:r>
        <w:t xml:space="preserve">.  </w:t>
      </w:r>
      <w:r w:rsidR="00405F20">
        <w:t>Andrew Cho</w:t>
      </w:r>
      <w:r>
        <w:t xml:space="preserve"> explained</w:t>
      </w:r>
      <w:r w:rsidR="00C652EB">
        <w:t xml:space="preserve"> that </w:t>
      </w:r>
      <w:r w:rsidR="00DF071D">
        <w:t>there are many students</w:t>
      </w:r>
      <w:r w:rsidR="00C652EB">
        <w:t xml:space="preserve"> interested in doing primary research in Sociology, </w:t>
      </w:r>
      <w:r w:rsidR="00DF071D">
        <w:t>but</w:t>
      </w:r>
      <w:r w:rsidR="00C652EB">
        <w:t xml:space="preserve"> right now </w:t>
      </w:r>
      <w:r w:rsidR="00DF071D">
        <w:t>there is no</w:t>
      </w:r>
      <w:r w:rsidR="00C652EB">
        <w:t xml:space="preserve"> opportunity </w:t>
      </w:r>
      <w:r w:rsidR="00DF071D">
        <w:t xml:space="preserve">at TCC for them </w:t>
      </w:r>
      <w:r w:rsidR="00C652EB">
        <w:t>to do so</w:t>
      </w:r>
      <w:r w:rsidR="00DF071D">
        <w:t>; thus,</w:t>
      </w:r>
      <w:r w:rsidR="00C652EB">
        <w:t xml:space="preserve"> if they end up transferring to the UW</w:t>
      </w:r>
      <w:r w:rsidR="004A6DE9">
        <w:t xml:space="preserve"> or other university</w:t>
      </w:r>
      <w:r w:rsidR="00C652EB">
        <w:t xml:space="preserve">, their first exposure to a qualitative or quantitative </w:t>
      </w:r>
      <w:r w:rsidR="004A6DE9">
        <w:t xml:space="preserve">methods class </w:t>
      </w:r>
      <w:r w:rsidR="00892E07">
        <w:t xml:space="preserve">would </w:t>
      </w:r>
      <w:r w:rsidR="004A6DE9">
        <w:t>be at the 400 level</w:t>
      </w:r>
      <w:r w:rsidR="00892E07">
        <w:t xml:space="preserve">.  </w:t>
      </w:r>
      <w:r w:rsidR="004A6DE9">
        <w:t xml:space="preserve">Judy Loveless-Morris added that they talked to </w:t>
      </w:r>
      <w:r w:rsidR="00892E07">
        <w:t xml:space="preserve">people at </w:t>
      </w:r>
      <w:r w:rsidR="004A6DE9">
        <w:t xml:space="preserve">UW and PLU, </w:t>
      </w:r>
      <w:r w:rsidR="00892E07">
        <w:t xml:space="preserve">who agreed that </w:t>
      </w:r>
      <w:r w:rsidR="00F22740">
        <w:t>this new course</w:t>
      </w:r>
      <w:r w:rsidR="004A6DE9">
        <w:t xml:space="preserve"> would help prepare </w:t>
      </w:r>
      <w:r w:rsidR="00892E07">
        <w:t xml:space="preserve">students for the tracks </w:t>
      </w:r>
      <w:r w:rsidR="00F22740">
        <w:t>at those institutions</w:t>
      </w:r>
      <w:r w:rsidR="00892E07">
        <w:t xml:space="preserve"> by giving</w:t>
      </w:r>
      <w:r w:rsidR="004A6DE9">
        <w:t xml:space="preserve"> them exposure to primary and secondary data </w:t>
      </w:r>
      <w:r w:rsidR="00892E07">
        <w:t>as well as qualitative data.  Judy also noted that they a</w:t>
      </w:r>
      <w:r w:rsidR="004A6DE9">
        <w:t xml:space="preserve">re working with Yvonne </w:t>
      </w:r>
      <w:proofErr w:type="spellStart"/>
      <w:r w:rsidR="00892E07">
        <w:t>Unnold</w:t>
      </w:r>
      <w:proofErr w:type="spellEnd"/>
      <w:r w:rsidR="00892E07">
        <w:t xml:space="preserve"> </w:t>
      </w:r>
      <w:r w:rsidR="004A6DE9">
        <w:t>to try to get</w:t>
      </w:r>
      <w:r w:rsidR="00DF071D">
        <w:t xml:space="preserve"> SPSS</w:t>
      </w:r>
      <w:r w:rsidR="00F22740">
        <w:t xml:space="preserve"> (statistics software)</w:t>
      </w:r>
      <w:r w:rsidR="00892E07">
        <w:t>,</w:t>
      </w:r>
      <w:r w:rsidR="00DF071D">
        <w:t xml:space="preserve"> which </w:t>
      </w:r>
      <w:r w:rsidR="00892E07">
        <w:t xml:space="preserve">would give </w:t>
      </w:r>
      <w:r w:rsidR="00DF071D">
        <w:t xml:space="preserve">both </w:t>
      </w:r>
      <w:r w:rsidR="00892E07">
        <w:t>Sociology and</w:t>
      </w:r>
      <w:r w:rsidR="00DF071D">
        <w:t xml:space="preserve"> Psychology students </w:t>
      </w:r>
      <w:r w:rsidR="00B93A16">
        <w:t xml:space="preserve">the </w:t>
      </w:r>
      <w:r w:rsidR="00DF071D">
        <w:t xml:space="preserve">opportunity </w:t>
      </w:r>
      <w:r w:rsidR="00B93A16">
        <w:t xml:space="preserve">to gain </w:t>
      </w:r>
      <w:r w:rsidR="00892E07">
        <w:t>experience with</w:t>
      </w:r>
      <w:r w:rsidR="00DF071D">
        <w:t xml:space="preserve"> </w:t>
      </w:r>
      <w:r w:rsidR="00892E07">
        <w:t xml:space="preserve">the </w:t>
      </w:r>
      <w:r w:rsidR="00F0356F">
        <w:t>SPSS</w:t>
      </w:r>
      <w:r w:rsidR="00461DC7">
        <w:t xml:space="preserve">; it also aligns with </w:t>
      </w:r>
      <w:r w:rsidR="00B93A16">
        <w:t>TCC’s</w:t>
      </w:r>
      <w:r w:rsidR="00461DC7">
        <w:t xml:space="preserve"> </w:t>
      </w:r>
      <w:proofErr w:type="spellStart"/>
      <w:r w:rsidR="00461DC7">
        <w:t>Statway</w:t>
      </w:r>
      <w:proofErr w:type="spellEnd"/>
      <w:r w:rsidR="00461DC7">
        <w:t xml:space="preserve"> as well</w:t>
      </w:r>
      <w:r w:rsidR="00892E07">
        <w:t>.  The motion carried.</w:t>
      </w:r>
    </w:p>
    <w:p w14:paraId="33BDA681" w14:textId="77777777" w:rsidR="00405F20" w:rsidRPr="00892E07" w:rsidRDefault="00405F20" w:rsidP="00674A17">
      <w:pPr>
        <w:pStyle w:val="ListParagraph"/>
        <w:numPr>
          <w:ilvl w:val="1"/>
          <w:numId w:val="4"/>
        </w:numPr>
        <w:spacing w:line="240" w:lineRule="auto"/>
        <w:rPr>
          <w:b/>
        </w:rPr>
      </w:pPr>
      <w:r w:rsidRPr="00892E07">
        <w:rPr>
          <w:b/>
        </w:rPr>
        <w:t>NUTR 250 Nutrition in Healthcare I</w:t>
      </w:r>
    </w:p>
    <w:p w14:paraId="0DA978A9" w14:textId="0573B889" w:rsidR="00405F20" w:rsidRDefault="00502A89" w:rsidP="00674A17">
      <w:pPr>
        <w:pStyle w:val="ListParagraph"/>
        <w:spacing w:line="240" w:lineRule="auto"/>
        <w:ind w:left="1080"/>
      </w:pPr>
      <w:r>
        <w:lastRenderedPageBreak/>
        <w:t>Heather Cushman moved to recommend approval</w:t>
      </w:r>
      <w:r w:rsidR="007371E0">
        <w:t xml:space="preserve"> of NUTR 250</w:t>
      </w:r>
      <w:r>
        <w:t xml:space="preserve">, with a second from Heather </w:t>
      </w:r>
      <w:proofErr w:type="spellStart"/>
      <w:r>
        <w:t>Gillanders</w:t>
      </w:r>
      <w:proofErr w:type="spellEnd"/>
      <w:r>
        <w:t xml:space="preserve">.  </w:t>
      </w:r>
      <w:r w:rsidR="00405F20">
        <w:t>Patt</w:t>
      </w:r>
      <w:r>
        <w:t>ie</w:t>
      </w:r>
      <w:r w:rsidR="00405F20">
        <w:t xml:space="preserve"> Green</w:t>
      </w:r>
      <w:r>
        <w:t xml:space="preserve"> explained</w:t>
      </w:r>
      <w:r w:rsidR="00C90282">
        <w:t xml:space="preserve"> </w:t>
      </w:r>
      <w:r w:rsidR="00461DC7">
        <w:t>that this course is for the Nursing Direct Transfer</w:t>
      </w:r>
      <w:r w:rsidR="00ED4770">
        <w:t xml:space="preserve">, which requires </w:t>
      </w:r>
      <w:r w:rsidR="00B93A16">
        <w:t>just</w:t>
      </w:r>
      <w:r w:rsidR="00F0356F">
        <w:t xml:space="preserve"> </w:t>
      </w:r>
      <w:r w:rsidR="00ED4770">
        <w:t>three credits of Nutrition</w:t>
      </w:r>
      <w:r w:rsidR="00F0356F">
        <w:t>, not five.  A</w:t>
      </w:r>
      <w:r w:rsidR="00ED4770">
        <w:t>lso, t</w:t>
      </w:r>
      <w:r w:rsidR="00A40C8B">
        <w:t xml:space="preserve">he learning objectives </w:t>
      </w:r>
      <w:r w:rsidR="00ED4770">
        <w:t>for Nutrition 101 are not enough to warrant five</w:t>
      </w:r>
      <w:r w:rsidR="00461DC7">
        <w:t xml:space="preserve"> credits</w:t>
      </w:r>
      <w:r w:rsidR="00ED4770">
        <w:t>;</w:t>
      </w:r>
      <w:r w:rsidR="00A40C8B">
        <w:t xml:space="preserve"> the nutrition </w:t>
      </w:r>
      <w:r w:rsidR="00F0356F">
        <w:t xml:space="preserve">information </w:t>
      </w:r>
      <w:r w:rsidR="00A40C8B">
        <w:t xml:space="preserve">that </w:t>
      </w:r>
      <w:r w:rsidR="00B93A16">
        <w:t>the nursing students need</w:t>
      </w:r>
      <w:r w:rsidR="00A40C8B">
        <w:t xml:space="preserve"> </w:t>
      </w:r>
      <w:r w:rsidR="00F0356F">
        <w:t xml:space="preserve">can be taught </w:t>
      </w:r>
      <w:r w:rsidR="00A40C8B">
        <w:t>in just three credits</w:t>
      </w:r>
      <w:r w:rsidR="00B93A16">
        <w:t xml:space="preserve">.  </w:t>
      </w:r>
      <w:r w:rsidR="00ED4770">
        <w:t>The students will</w:t>
      </w:r>
      <w:r w:rsidR="00B93A16">
        <w:t xml:space="preserve"> then</w:t>
      </w:r>
      <w:r w:rsidR="00ED4770">
        <w:t xml:space="preserve"> take</w:t>
      </w:r>
      <w:r w:rsidR="00A40C8B">
        <w:t xml:space="preserve"> Advanced Applied Nutrition</w:t>
      </w:r>
      <w:r w:rsidR="00ED4770">
        <w:t xml:space="preserve"> (</w:t>
      </w:r>
      <w:r w:rsidR="00A40C8B">
        <w:t>2 credits</w:t>
      </w:r>
      <w:r w:rsidR="00ED4770">
        <w:t>)</w:t>
      </w:r>
      <w:r w:rsidR="00A40C8B">
        <w:t xml:space="preserve"> in their </w:t>
      </w:r>
      <w:r w:rsidR="00F0356F">
        <w:t>sixth</w:t>
      </w:r>
      <w:r w:rsidR="00A40C8B">
        <w:t xml:space="preserve"> </w:t>
      </w:r>
      <w:r w:rsidR="00612DAC">
        <w:t xml:space="preserve">quarter.  Phil Hunter asked for clarification that this is for the Nursing MRP, not the Pre-Nursing MRP degree.  Julie Benson explained </w:t>
      </w:r>
      <w:r w:rsidR="00ED4770">
        <w:t>that</w:t>
      </w:r>
      <w:r w:rsidR="00612DAC">
        <w:t xml:space="preserve"> the Nursing program </w:t>
      </w:r>
      <w:r w:rsidR="00ED4770">
        <w:t xml:space="preserve">currently </w:t>
      </w:r>
      <w:r w:rsidR="00612DAC">
        <w:t xml:space="preserve">has the AAST (Associate of Applied Science Transfer Degree), and the state Board has now approved </w:t>
      </w:r>
      <w:r w:rsidR="00ED4770">
        <w:t>the</w:t>
      </w:r>
      <w:r w:rsidR="00612DAC">
        <w:t xml:space="preserve"> new Associate Degree in Nursing DTA</w:t>
      </w:r>
      <w:r w:rsidR="00ED4770">
        <w:t>/</w:t>
      </w:r>
      <w:r w:rsidR="00612DAC">
        <w:t>MRP</w:t>
      </w:r>
      <w:r w:rsidR="00ED4770">
        <w:t xml:space="preserve"> degree.  For this degree, students </w:t>
      </w:r>
      <w:r w:rsidR="00612DAC">
        <w:t>would complete 135 credits at the Associate’s</w:t>
      </w:r>
      <w:r w:rsidR="00ED4770">
        <w:t xml:space="preserve"> Degree level and then</w:t>
      </w:r>
      <w:r w:rsidR="00612DAC">
        <w:t xml:space="preserve"> 45 </w:t>
      </w:r>
      <w:r w:rsidR="00ED4770">
        <w:t xml:space="preserve">additional credits </w:t>
      </w:r>
      <w:r w:rsidR="00612DAC">
        <w:t>for the Bachelor’s degree.</w:t>
      </w:r>
      <w:r w:rsidR="00A40C8B">
        <w:t xml:space="preserve"> </w:t>
      </w:r>
      <w:r w:rsidR="00612DAC">
        <w:t xml:space="preserve"> Pattie Green noted that N</w:t>
      </w:r>
      <w:r w:rsidR="00ED4770">
        <w:t>UTR</w:t>
      </w:r>
      <w:r w:rsidR="00612DAC">
        <w:t xml:space="preserve"> 101 will not be deleted; many students still tak</w:t>
      </w:r>
      <w:r w:rsidR="00ED4770">
        <w:t>e it</w:t>
      </w:r>
      <w:r w:rsidR="00612DAC">
        <w:t xml:space="preserve">.  </w:t>
      </w:r>
      <w:r w:rsidR="00ED4770">
        <w:t>This is</w:t>
      </w:r>
      <w:r w:rsidR="00612DAC">
        <w:t xml:space="preserve"> actually one of the reasons </w:t>
      </w:r>
      <w:r w:rsidR="00ED4770">
        <w:t>the</w:t>
      </w:r>
      <w:r w:rsidR="00612DAC">
        <w:t xml:space="preserve"> new </w:t>
      </w:r>
      <w:r w:rsidR="00ED4770">
        <w:t xml:space="preserve">NUTR 250 </w:t>
      </w:r>
      <w:r w:rsidR="00612DAC">
        <w:t>class</w:t>
      </w:r>
      <w:r w:rsidR="00ED4770">
        <w:t xml:space="preserve"> is being created</w:t>
      </w:r>
      <w:r w:rsidR="00B93A16">
        <w:t xml:space="preserve">:  </w:t>
      </w:r>
      <w:r w:rsidR="00612DAC">
        <w:t xml:space="preserve">right now both Nursing and general students are in the same Nutrition 101 class, </w:t>
      </w:r>
      <w:r w:rsidR="00ED4770">
        <w:t>which means</w:t>
      </w:r>
      <w:r w:rsidR="00612DAC">
        <w:t xml:space="preserve"> trying to teach at two very different levels in the same course.  </w:t>
      </w:r>
      <w:r w:rsidR="00ED4770">
        <w:t>The motion carried.</w:t>
      </w:r>
    </w:p>
    <w:p w14:paraId="78C26FE6" w14:textId="77777777" w:rsidR="00461DC7" w:rsidRPr="009E279E" w:rsidRDefault="00461DC7" w:rsidP="00674A17">
      <w:pPr>
        <w:pStyle w:val="ListParagraph"/>
        <w:spacing w:line="240" w:lineRule="auto"/>
        <w:ind w:left="1080"/>
        <w:rPr>
          <w:sz w:val="16"/>
          <w:szCs w:val="16"/>
        </w:rPr>
      </w:pPr>
    </w:p>
    <w:p w14:paraId="0A2C602C" w14:textId="30927C97" w:rsidR="00405F20" w:rsidRPr="00651D33" w:rsidRDefault="00405F20" w:rsidP="00674A17">
      <w:pPr>
        <w:pStyle w:val="ListParagraph"/>
        <w:numPr>
          <w:ilvl w:val="0"/>
          <w:numId w:val="4"/>
        </w:numPr>
        <w:spacing w:line="240" w:lineRule="auto"/>
        <w:rPr>
          <w:rFonts w:ascii="Calibri" w:hAnsi="Calibri" w:cs="Calibri"/>
          <w:b/>
          <w:bCs/>
          <w:color w:val="212121"/>
          <w:shd w:val="clear" w:color="auto" w:fill="FFFFFF"/>
        </w:rPr>
      </w:pPr>
      <w:r w:rsidRPr="00651D33">
        <w:rPr>
          <w:b/>
        </w:rPr>
        <w:t xml:space="preserve">Degree Requirement Waiver Petition - </w:t>
      </w:r>
      <w:r w:rsidRPr="00651D33">
        <w:rPr>
          <w:rFonts w:ascii="Calibri" w:hAnsi="Calibri" w:cs="Calibri"/>
          <w:b/>
          <w:bCs/>
          <w:color w:val="212121"/>
          <w:shd w:val="clear" w:color="auto" w:fill="FFFFFF"/>
        </w:rPr>
        <w:t>Christopher Walker</w:t>
      </w:r>
    </w:p>
    <w:p w14:paraId="7EC27A2E" w14:textId="7AD78164" w:rsidR="00405F20" w:rsidRDefault="00502A89" w:rsidP="00674A17">
      <w:pPr>
        <w:spacing w:line="240" w:lineRule="auto"/>
        <w:ind w:left="360"/>
        <w:rPr>
          <w:rFonts w:ascii="Calibri" w:hAnsi="Calibri" w:cs="Calibri"/>
          <w:bCs/>
          <w:color w:val="212121"/>
          <w:shd w:val="clear" w:color="auto" w:fill="FFFFFF"/>
        </w:rPr>
      </w:pPr>
      <w:r>
        <w:rPr>
          <w:rFonts w:ascii="Calibri" w:hAnsi="Calibri" w:cs="Calibri"/>
          <w:bCs/>
          <w:color w:val="212121"/>
          <w:shd w:val="clear" w:color="auto" w:fill="FFFFFF"/>
        </w:rPr>
        <w:t xml:space="preserve">Greg </w:t>
      </w:r>
      <w:proofErr w:type="spellStart"/>
      <w:r>
        <w:rPr>
          <w:rFonts w:ascii="Calibri" w:hAnsi="Calibri" w:cs="Calibri"/>
          <w:bCs/>
          <w:color w:val="212121"/>
          <w:shd w:val="clear" w:color="auto" w:fill="FFFFFF"/>
        </w:rPr>
        <w:t>Ferencko</w:t>
      </w:r>
      <w:proofErr w:type="spellEnd"/>
      <w:r>
        <w:rPr>
          <w:rFonts w:ascii="Calibri" w:hAnsi="Calibri" w:cs="Calibri"/>
          <w:bCs/>
          <w:color w:val="212121"/>
          <w:shd w:val="clear" w:color="auto" w:fill="FFFFFF"/>
        </w:rPr>
        <w:t xml:space="preserve"> moved to grant the petition</w:t>
      </w:r>
      <w:r w:rsidR="00651D33">
        <w:rPr>
          <w:rFonts w:ascii="Calibri" w:hAnsi="Calibri" w:cs="Calibri"/>
          <w:bCs/>
          <w:color w:val="212121"/>
          <w:shd w:val="clear" w:color="auto" w:fill="FFFFFF"/>
        </w:rPr>
        <w:t xml:space="preserve"> waiver for Christopher Walker</w:t>
      </w:r>
      <w:r>
        <w:rPr>
          <w:rFonts w:ascii="Calibri" w:hAnsi="Calibri" w:cs="Calibri"/>
          <w:bCs/>
          <w:color w:val="212121"/>
          <w:shd w:val="clear" w:color="auto" w:fill="FFFFFF"/>
        </w:rPr>
        <w:t xml:space="preserve">, with a second by Craig Cowden.  </w:t>
      </w:r>
      <w:r w:rsidR="00405F20">
        <w:rPr>
          <w:rFonts w:ascii="Calibri" w:hAnsi="Calibri" w:cs="Calibri"/>
          <w:bCs/>
          <w:color w:val="212121"/>
          <w:shd w:val="clear" w:color="auto" w:fill="FFFFFF"/>
        </w:rPr>
        <w:t xml:space="preserve">Greg </w:t>
      </w:r>
      <w:proofErr w:type="spellStart"/>
      <w:r w:rsidR="00405F20">
        <w:rPr>
          <w:rFonts w:ascii="Calibri" w:hAnsi="Calibri" w:cs="Calibri"/>
          <w:bCs/>
          <w:color w:val="212121"/>
          <w:shd w:val="clear" w:color="auto" w:fill="FFFFFF"/>
        </w:rPr>
        <w:t>Ferencko</w:t>
      </w:r>
      <w:proofErr w:type="spellEnd"/>
      <w:r>
        <w:rPr>
          <w:rFonts w:ascii="Calibri" w:hAnsi="Calibri" w:cs="Calibri"/>
          <w:bCs/>
          <w:color w:val="212121"/>
          <w:shd w:val="clear" w:color="auto" w:fill="FFFFFF"/>
        </w:rPr>
        <w:t xml:space="preserve"> explained</w:t>
      </w:r>
      <w:r w:rsidR="00651D33">
        <w:rPr>
          <w:rFonts w:ascii="Calibri" w:hAnsi="Calibri" w:cs="Calibri"/>
          <w:bCs/>
          <w:color w:val="212121"/>
          <w:shd w:val="clear" w:color="auto" w:fill="FFFFFF"/>
        </w:rPr>
        <w:t xml:space="preserve"> that </w:t>
      </w:r>
      <w:r w:rsidR="00EB6FBF">
        <w:rPr>
          <w:rFonts w:ascii="Calibri" w:hAnsi="Calibri" w:cs="Calibri"/>
          <w:bCs/>
          <w:color w:val="212121"/>
          <w:shd w:val="clear" w:color="auto" w:fill="FFFFFF"/>
        </w:rPr>
        <w:t xml:space="preserve">this student had switched from </w:t>
      </w:r>
      <w:r w:rsidR="00651D33">
        <w:rPr>
          <w:rFonts w:ascii="Calibri" w:hAnsi="Calibri" w:cs="Calibri"/>
          <w:bCs/>
          <w:color w:val="212121"/>
          <w:shd w:val="clear" w:color="auto" w:fill="FFFFFF"/>
        </w:rPr>
        <w:t xml:space="preserve">the Associate of Science-Computer Science to an Option </w:t>
      </w:r>
      <w:proofErr w:type="gramStart"/>
      <w:r w:rsidR="00651D33">
        <w:rPr>
          <w:rFonts w:ascii="Calibri" w:hAnsi="Calibri" w:cs="Calibri"/>
          <w:bCs/>
          <w:color w:val="212121"/>
          <w:shd w:val="clear" w:color="auto" w:fill="FFFFFF"/>
        </w:rPr>
        <w:t>A</w:t>
      </w:r>
      <w:proofErr w:type="gramEnd"/>
      <w:r w:rsidR="00651D33">
        <w:rPr>
          <w:rFonts w:ascii="Calibri" w:hAnsi="Calibri" w:cs="Calibri"/>
          <w:bCs/>
          <w:color w:val="212121"/>
          <w:shd w:val="clear" w:color="auto" w:fill="FFFFFF"/>
        </w:rPr>
        <w:t xml:space="preserve"> degree</w:t>
      </w:r>
      <w:r w:rsidR="007655B1">
        <w:rPr>
          <w:rFonts w:ascii="Calibri" w:hAnsi="Calibri" w:cs="Calibri"/>
          <w:bCs/>
          <w:color w:val="212121"/>
          <w:shd w:val="clear" w:color="auto" w:fill="FFFFFF"/>
        </w:rPr>
        <w:t>, not realizing</w:t>
      </w:r>
      <w:r w:rsidR="00EB6FBF">
        <w:rPr>
          <w:rFonts w:ascii="Calibri" w:hAnsi="Calibri" w:cs="Calibri"/>
          <w:bCs/>
          <w:color w:val="212121"/>
          <w:shd w:val="clear" w:color="auto" w:fill="FFFFFF"/>
        </w:rPr>
        <w:t xml:space="preserve"> that</w:t>
      </w:r>
      <w:r w:rsidR="00651D33">
        <w:rPr>
          <w:rFonts w:ascii="Calibri" w:hAnsi="Calibri" w:cs="Calibri"/>
          <w:bCs/>
          <w:color w:val="212121"/>
          <w:shd w:val="clear" w:color="auto" w:fill="FFFFFF"/>
        </w:rPr>
        <w:t xml:space="preserve"> the Option A degree</w:t>
      </w:r>
      <w:r w:rsidR="00461716">
        <w:rPr>
          <w:rFonts w:ascii="Calibri" w:hAnsi="Calibri" w:cs="Calibri"/>
          <w:bCs/>
          <w:color w:val="212121"/>
          <w:shd w:val="clear" w:color="auto" w:fill="FFFFFF"/>
        </w:rPr>
        <w:t xml:space="preserve"> requires a separate Multicultural class in addition to those counted among the Distribution credits</w:t>
      </w:r>
      <w:r w:rsidR="00651D33">
        <w:rPr>
          <w:rFonts w:ascii="Calibri" w:hAnsi="Calibri" w:cs="Calibri"/>
          <w:bCs/>
          <w:color w:val="212121"/>
          <w:shd w:val="clear" w:color="auto" w:fill="FFFFFF"/>
        </w:rPr>
        <w:t xml:space="preserve">.  </w:t>
      </w:r>
      <w:r w:rsidR="00EB6FBF">
        <w:rPr>
          <w:rFonts w:ascii="Calibri" w:hAnsi="Calibri" w:cs="Calibri"/>
          <w:bCs/>
          <w:color w:val="212121"/>
          <w:shd w:val="clear" w:color="auto" w:fill="FFFFFF"/>
        </w:rPr>
        <w:t>Christopher Walker</w:t>
      </w:r>
      <w:r w:rsidR="00651D33">
        <w:rPr>
          <w:rFonts w:ascii="Calibri" w:hAnsi="Calibri" w:cs="Calibri"/>
          <w:bCs/>
          <w:color w:val="212121"/>
          <w:shd w:val="clear" w:color="auto" w:fill="FFFFFF"/>
        </w:rPr>
        <w:t xml:space="preserve"> had five </w:t>
      </w:r>
      <w:r w:rsidR="00EB6FBF">
        <w:rPr>
          <w:rFonts w:ascii="Calibri" w:hAnsi="Calibri" w:cs="Calibri"/>
          <w:bCs/>
          <w:color w:val="212121"/>
          <w:shd w:val="clear" w:color="auto" w:fill="FFFFFF"/>
        </w:rPr>
        <w:t xml:space="preserve">Multicultural </w:t>
      </w:r>
      <w:r w:rsidR="00651D33">
        <w:rPr>
          <w:rFonts w:ascii="Calibri" w:hAnsi="Calibri" w:cs="Calibri"/>
          <w:bCs/>
          <w:color w:val="212121"/>
          <w:shd w:val="clear" w:color="auto" w:fill="FFFFFF"/>
        </w:rPr>
        <w:t xml:space="preserve">courses </w:t>
      </w:r>
      <w:r w:rsidR="00EB6FBF">
        <w:rPr>
          <w:rFonts w:ascii="Calibri" w:hAnsi="Calibri" w:cs="Calibri"/>
          <w:bCs/>
          <w:color w:val="212121"/>
          <w:shd w:val="clear" w:color="auto" w:fill="FFFFFF"/>
        </w:rPr>
        <w:t xml:space="preserve">among his Distribution credits, but he didn’t have the one in addition.  </w:t>
      </w:r>
      <w:r w:rsidR="00461716">
        <w:rPr>
          <w:rFonts w:ascii="Calibri" w:hAnsi="Calibri" w:cs="Calibri"/>
          <w:bCs/>
          <w:color w:val="212121"/>
          <w:shd w:val="clear" w:color="auto" w:fill="FFFFFF"/>
        </w:rPr>
        <w:t xml:space="preserve">However, since he did take five </w:t>
      </w:r>
      <w:r w:rsidR="00EB6FBF">
        <w:rPr>
          <w:rFonts w:ascii="Calibri" w:hAnsi="Calibri" w:cs="Calibri"/>
          <w:bCs/>
          <w:color w:val="212121"/>
          <w:shd w:val="clear" w:color="auto" w:fill="FFFFFF"/>
        </w:rPr>
        <w:t>Multicultural courses</w:t>
      </w:r>
      <w:r w:rsidR="00461716">
        <w:rPr>
          <w:rFonts w:ascii="Calibri" w:hAnsi="Calibri" w:cs="Calibri"/>
          <w:bCs/>
          <w:color w:val="212121"/>
          <w:shd w:val="clear" w:color="auto" w:fill="FFFFFF"/>
        </w:rPr>
        <w:t>, h</w:t>
      </w:r>
      <w:r w:rsidR="00EB6FBF">
        <w:rPr>
          <w:rFonts w:ascii="Calibri" w:hAnsi="Calibri" w:cs="Calibri"/>
          <w:bCs/>
          <w:color w:val="212121"/>
          <w:shd w:val="clear" w:color="auto" w:fill="FFFFFF"/>
        </w:rPr>
        <w:t xml:space="preserve">e </w:t>
      </w:r>
      <w:r w:rsidR="00461716">
        <w:rPr>
          <w:rFonts w:ascii="Calibri" w:hAnsi="Calibri" w:cs="Calibri"/>
          <w:bCs/>
          <w:color w:val="212121"/>
          <w:shd w:val="clear" w:color="auto" w:fill="FFFFFF"/>
        </w:rPr>
        <w:t>should be considered as having</w:t>
      </w:r>
      <w:r w:rsidR="00EB6FBF">
        <w:rPr>
          <w:rFonts w:ascii="Calibri" w:hAnsi="Calibri" w:cs="Calibri"/>
          <w:bCs/>
          <w:color w:val="212121"/>
          <w:shd w:val="clear" w:color="auto" w:fill="FFFFFF"/>
        </w:rPr>
        <w:t xml:space="preserve"> met the spirit of </w:t>
      </w:r>
      <w:r w:rsidR="00461716">
        <w:rPr>
          <w:rFonts w:ascii="Calibri" w:hAnsi="Calibri" w:cs="Calibri"/>
          <w:bCs/>
          <w:color w:val="212121"/>
          <w:shd w:val="clear" w:color="auto" w:fill="FFFFFF"/>
        </w:rPr>
        <w:t>the Multicultural</w:t>
      </w:r>
      <w:r w:rsidR="00EB6FBF">
        <w:rPr>
          <w:rFonts w:ascii="Calibri" w:hAnsi="Calibri" w:cs="Calibri"/>
          <w:bCs/>
          <w:color w:val="212121"/>
          <w:shd w:val="clear" w:color="auto" w:fill="FFFFFF"/>
        </w:rPr>
        <w:t xml:space="preserve"> requirement.  </w:t>
      </w:r>
      <w:r w:rsidR="00461716">
        <w:rPr>
          <w:rFonts w:ascii="Calibri" w:hAnsi="Calibri" w:cs="Calibri"/>
          <w:bCs/>
          <w:color w:val="212121"/>
          <w:shd w:val="clear" w:color="auto" w:fill="FFFFFF"/>
        </w:rPr>
        <w:t xml:space="preserve">The motion carried. </w:t>
      </w:r>
    </w:p>
    <w:p w14:paraId="5F783B75" w14:textId="77777777" w:rsidR="00DB1D28" w:rsidRPr="004A5507" w:rsidRDefault="00DB1D28" w:rsidP="00674A17">
      <w:pPr>
        <w:spacing w:line="240" w:lineRule="auto"/>
        <w:ind w:left="360"/>
        <w:rPr>
          <w:rFonts w:ascii="Calibri" w:hAnsi="Calibri" w:cs="Calibri"/>
          <w:bCs/>
          <w:color w:val="212121"/>
          <w:sz w:val="16"/>
          <w:szCs w:val="16"/>
          <w:shd w:val="clear" w:color="auto" w:fill="FFFFFF"/>
        </w:rPr>
      </w:pPr>
    </w:p>
    <w:p w14:paraId="4BDE01B7" w14:textId="0C02D399" w:rsidR="003406EC" w:rsidRDefault="003406EC" w:rsidP="00674A17">
      <w:pPr>
        <w:pStyle w:val="ListParagraph"/>
        <w:numPr>
          <w:ilvl w:val="0"/>
          <w:numId w:val="4"/>
        </w:numPr>
        <w:spacing w:line="240" w:lineRule="auto"/>
        <w:rPr>
          <w:b/>
        </w:rPr>
      </w:pPr>
      <w:r w:rsidRPr="00461716">
        <w:rPr>
          <w:b/>
        </w:rPr>
        <w:t>New Specializations</w:t>
      </w:r>
    </w:p>
    <w:p w14:paraId="524F0CD4" w14:textId="137CD9D8" w:rsidR="00CA663A" w:rsidRDefault="001900E4" w:rsidP="00674A17">
      <w:pPr>
        <w:pStyle w:val="ListParagraph"/>
        <w:spacing w:line="240" w:lineRule="auto"/>
        <w:rPr>
          <w:rFonts w:ascii="Calibri" w:hAnsi="Calibri" w:cs="Calibri"/>
          <w:bCs/>
          <w:color w:val="212121"/>
          <w:shd w:val="clear" w:color="auto" w:fill="FFFFFF"/>
        </w:rPr>
      </w:pPr>
      <w:r w:rsidRPr="001900E4">
        <w:rPr>
          <w:rFonts w:ascii="Calibri" w:hAnsi="Calibri" w:cs="Calibri"/>
          <w:bCs/>
          <w:color w:val="212121"/>
          <w:shd w:val="clear" w:color="auto" w:fill="FFFFFF"/>
        </w:rPr>
        <w:t xml:space="preserve">Before </w:t>
      </w:r>
      <w:r w:rsidR="0060081E">
        <w:rPr>
          <w:rFonts w:ascii="Calibri" w:hAnsi="Calibri" w:cs="Calibri"/>
          <w:bCs/>
          <w:color w:val="212121"/>
          <w:shd w:val="clear" w:color="auto" w:fill="FFFFFF"/>
        </w:rPr>
        <w:t>moving on to</w:t>
      </w:r>
      <w:r w:rsidRPr="001900E4">
        <w:rPr>
          <w:rFonts w:ascii="Calibri" w:hAnsi="Calibri" w:cs="Calibri"/>
          <w:bCs/>
          <w:color w:val="212121"/>
          <w:shd w:val="clear" w:color="auto" w:fill="FFFFFF"/>
        </w:rPr>
        <w:t xml:space="preserve"> the Specializations</w:t>
      </w:r>
      <w:r w:rsidR="0060081E">
        <w:rPr>
          <w:rFonts w:ascii="Calibri" w:hAnsi="Calibri" w:cs="Calibri"/>
          <w:bCs/>
          <w:color w:val="212121"/>
          <w:shd w:val="clear" w:color="auto" w:fill="FFFFFF"/>
        </w:rPr>
        <w:t xml:space="preserve"> that are next on the agenda</w:t>
      </w:r>
      <w:r w:rsidRPr="001900E4">
        <w:rPr>
          <w:rFonts w:ascii="Calibri" w:hAnsi="Calibri" w:cs="Calibri"/>
          <w:bCs/>
          <w:color w:val="212121"/>
          <w:shd w:val="clear" w:color="auto" w:fill="FFFFFF"/>
        </w:rPr>
        <w:t xml:space="preserve">, </w:t>
      </w:r>
      <w:r>
        <w:rPr>
          <w:rFonts w:ascii="Calibri" w:hAnsi="Calibri" w:cs="Calibri"/>
          <w:bCs/>
          <w:color w:val="212121"/>
          <w:shd w:val="clear" w:color="auto" w:fill="FFFFFF"/>
        </w:rPr>
        <w:t xml:space="preserve">Phil Hunter gave </w:t>
      </w:r>
      <w:r w:rsidR="0060081E">
        <w:rPr>
          <w:rFonts w:ascii="Calibri" w:hAnsi="Calibri" w:cs="Calibri"/>
          <w:bCs/>
          <w:color w:val="212121"/>
          <w:shd w:val="clear" w:color="auto" w:fill="FFFFFF"/>
        </w:rPr>
        <w:t xml:space="preserve">the Committee </w:t>
      </w:r>
      <w:r>
        <w:rPr>
          <w:rFonts w:ascii="Calibri" w:hAnsi="Calibri" w:cs="Calibri"/>
          <w:bCs/>
          <w:color w:val="212121"/>
          <w:shd w:val="clear" w:color="auto" w:fill="FFFFFF"/>
        </w:rPr>
        <w:t xml:space="preserve">an overview of the four different degrees </w:t>
      </w:r>
      <w:r w:rsidR="0060081E">
        <w:rPr>
          <w:rFonts w:ascii="Calibri" w:hAnsi="Calibri" w:cs="Calibri"/>
          <w:bCs/>
          <w:color w:val="212121"/>
          <w:shd w:val="clear" w:color="auto" w:fill="FFFFFF"/>
        </w:rPr>
        <w:t>that are included within Washington State’s Associate’s Degrees:</w:t>
      </w:r>
    </w:p>
    <w:p w14:paraId="4DCEC7D9" w14:textId="63ED2EEC" w:rsidR="00CA663A" w:rsidRDefault="00CA663A" w:rsidP="00674A17">
      <w:pPr>
        <w:pStyle w:val="ListParagraph"/>
        <w:numPr>
          <w:ilvl w:val="0"/>
          <w:numId w:val="13"/>
        </w:numPr>
        <w:spacing w:line="240" w:lineRule="auto"/>
        <w:ind w:left="1080"/>
        <w:rPr>
          <w:rFonts w:ascii="Calibri" w:hAnsi="Calibri" w:cs="Calibri"/>
          <w:bCs/>
          <w:color w:val="212121"/>
          <w:shd w:val="clear" w:color="auto" w:fill="FFFFFF"/>
        </w:rPr>
      </w:pPr>
      <w:r>
        <w:rPr>
          <w:rFonts w:ascii="Calibri" w:hAnsi="Calibri" w:cs="Calibri"/>
          <w:bCs/>
          <w:color w:val="212121"/>
          <w:shd w:val="clear" w:color="auto" w:fill="FFFFFF"/>
        </w:rPr>
        <w:t>T</w:t>
      </w:r>
      <w:r w:rsidR="001900E4" w:rsidRPr="001900E4">
        <w:rPr>
          <w:rFonts w:ascii="Calibri" w:hAnsi="Calibri" w:cs="Calibri"/>
          <w:bCs/>
          <w:color w:val="212121"/>
          <w:shd w:val="clear" w:color="auto" w:fill="FFFFFF"/>
        </w:rPr>
        <w:t xml:space="preserve">he </w:t>
      </w:r>
      <w:r w:rsidR="0060081E">
        <w:rPr>
          <w:rFonts w:ascii="Calibri" w:hAnsi="Calibri" w:cs="Calibri"/>
          <w:bCs/>
          <w:color w:val="212121"/>
          <w:shd w:val="clear" w:color="auto" w:fill="FFFFFF"/>
        </w:rPr>
        <w:t>Direct Transfer Agreement (DTA) is</w:t>
      </w:r>
      <w:r w:rsidR="001900E4" w:rsidRPr="001900E4">
        <w:rPr>
          <w:rFonts w:ascii="Calibri" w:hAnsi="Calibri" w:cs="Calibri"/>
          <w:bCs/>
          <w:color w:val="212121"/>
          <w:shd w:val="clear" w:color="auto" w:fill="FFFFFF"/>
        </w:rPr>
        <w:t xml:space="preserve"> an agreement between the community and technical colleges and </w:t>
      </w:r>
      <w:r>
        <w:rPr>
          <w:rFonts w:ascii="Calibri" w:hAnsi="Calibri" w:cs="Calibri"/>
          <w:bCs/>
          <w:color w:val="212121"/>
          <w:shd w:val="clear" w:color="auto" w:fill="FFFFFF"/>
        </w:rPr>
        <w:t>the four</w:t>
      </w:r>
      <w:r w:rsidR="001900E4" w:rsidRPr="001900E4">
        <w:rPr>
          <w:rFonts w:ascii="Calibri" w:hAnsi="Calibri" w:cs="Calibri"/>
          <w:bCs/>
          <w:color w:val="212121"/>
          <w:shd w:val="clear" w:color="auto" w:fill="FFFFFF"/>
        </w:rPr>
        <w:t xml:space="preserve">-year institutions </w:t>
      </w:r>
      <w:r>
        <w:rPr>
          <w:rFonts w:ascii="Calibri" w:hAnsi="Calibri" w:cs="Calibri"/>
          <w:bCs/>
          <w:color w:val="212121"/>
          <w:shd w:val="clear" w:color="auto" w:fill="FFFFFF"/>
        </w:rPr>
        <w:t>establishing</w:t>
      </w:r>
      <w:r w:rsidR="001900E4" w:rsidRPr="001900E4">
        <w:rPr>
          <w:rFonts w:ascii="Calibri" w:hAnsi="Calibri" w:cs="Calibri"/>
          <w:bCs/>
          <w:color w:val="212121"/>
          <w:shd w:val="clear" w:color="auto" w:fill="FFFFFF"/>
        </w:rPr>
        <w:t xml:space="preserve"> a degree </w:t>
      </w:r>
      <w:r>
        <w:rPr>
          <w:rFonts w:ascii="Calibri" w:hAnsi="Calibri" w:cs="Calibri"/>
          <w:bCs/>
          <w:color w:val="212121"/>
          <w:shd w:val="clear" w:color="auto" w:fill="FFFFFF"/>
        </w:rPr>
        <w:t>accepted by</w:t>
      </w:r>
      <w:r w:rsidR="001900E4" w:rsidRPr="001900E4">
        <w:rPr>
          <w:rFonts w:ascii="Calibri" w:hAnsi="Calibri" w:cs="Calibri"/>
          <w:bCs/>
          <w:color w:val="212121"/>
          <w:shd w:val="clear" w:color="auto" w:fill="FFFFFF"/>
        </w:rPr>
        <w:t xml:space="preserve"> the </w:t>
      </w:r>
      <w:r w:rsidR="00B93A16">
        <w:rPr>
          <w:rFonts w:ascii="Calibri" w:hAnsi="Calibri" w:cs="Calibri"/>
          <w:bCs/>
          <w:color w:val="212121"/>
          <w:shd w:val="clear" w:color="auto" w:fill="FFFFFF"/>
        </w:rPr>
        <w:t>four</w:t>
      </w:r>
      <w:r w:rsidR="001900E4" w:rsidRPr="001900E4">
        <w:rPr>
          <w:rFonts w:ascii="Calibri" w:hAnsi="Calibri" w:cs="Calibri"/>
          <w:bCs/>
          <w:color w:val="212121"/>
          <w:shd w:val="clear" w:color="auto" w:fill="FFFFFF"/>
        </w:rPr>
        <w:t>-ye</w:t>
      </w:r>
      <w:r>
        <w:rPr>
          <w:rFonts w:ascii="Calibri" w:hAnsi="Calibri" w:cs="Calibri"/>
          <w:bCs/>
          <w:color w:val="212121"/>
          <w:shd w:val="clear" w:color="auto" w:fill="FFFFFF"/>
        </w:rPr>
        <w:t>ar institutions</w:t>
      </w:r>
      <w:r w:rsidR="001900E4" w:rsidRPr="001900E4">
        <w:rPr>
          <w:rFonts w:ascii="Calibri" w:hAnsi="Calibri" w:cs="Calibri"/>
          <w:bCs/>
          <w:color w:val="212121"/>
          <w:shd w:val="clear" w:color="auto" w:fill="FFFFFF"/>
        </w:rPr>
        <w:t xml:space="preserve"> that </w:t>
      </w:r>
      <w:r>
        <w:rPr>
          <w:rFonts w:ascii="Calibri" w:hAnsi="Calibri" w:cs="Calibri"/>
          <w:bCs/>
          <w:color w:val="212121"/>
          <w:shd w:val="clear" w:color="auto" w:fill="FFFFFF"/>
        </w:rPr>
        <w:t>covers</w:t>
      </w:r>
      <w:r w:rsidR="001900E4" w:rsidRPr="001900E4">
        <w:rPr>
          <w:rFonts w:ascii="Calibri" w:hAnsi="Calibri" w:cs="Calibri"/>
          <w:bCs/>
          <w:color w:val="212121"/>
          <w:shd w:val="clear" w:color="auto" w:fill="FFFFFF"/>
        </w:rPr>
        <w:t xml:space="preserve"> the </w:t>
      </w:r>
      <w:proofErr w:type="spellStart"/>
      <w:r w:rsidR="001900E4" w:rsidRPr="001900E4">
        <w:rPr>
          <w:rFonts w:ascii="Calibri" w:hAnsi="Calibri" w:cs="Calibri"/>
          <w:bCs/>
          <w:color w:val="212121"/>
          <w:shd w:val="clear" w:color="auto" w:fill="FFFFFF"/>
        </w:rPr>
        <w:t>GenEd</w:t>
      </w:r>
      <w:proofErr w:type="spellEnd"/>
      <w:r w:rsidR="001900E4" w:rsidRPr="001900E4">
        <w:rPr>
          <w:rFonts w:ascii="Calibri" w:hAnsi="Calibri" w:cs="Calibri"/>
          <w:bCs/>
          <w:color w:val="212121"/>
          <w:shd w:val="clear" w:color="auto" w:fill="FFFFFF"/>
        </w:rPr>
        <w:t xml:space="preserve"> courses and gives students Junior-level standing at the </w:t>
      </w:r>
      <w:r w:rsidR="00B93A16">
        <w:rPr>
          <w:rFonts w:ascii="Calibri" w:hAnsi="Calibri" w:cs="Calibri"/>
          <w:bCs/>
          <w:color w:val="212121"/>
          <w:shd w:val="clear" w:color="auto" w:fill="FFFFFF"/>
        </w:rPr>
        <w:t>four</w:t>
      </w:r>
      <w:r w:rsidR="001900E4" w:rsidRPr="001900E4">
        <w:rPr>
          <w:rFonts w:ascii="Calibri" w:hAnsi="Calibri" w:cs="Calibri"/>
          <w:bCs/>
          <w:color w:val="212121"/>
          <w:shd w:val="clear" w:color="auto" w:fill="FFFFFF"/>
        </w:rPr>
        <w:t xml:space="preserve">-year institution.  </w:t>
      </w:r>
    </w:p>
    <w:p w14:paraId="52ABDEAC" w14:textId="519B2AC0" w:rsidR="00CA663A" w:rsidRDefault="001900E4" w:rsidP="00674A17">
      <w:pPr>
        <w:pStyle w:val="ListParagraph"/>
        <w:numPr>
          <w:ilvl w:val="0"/>
          <w:numId w:val="13"/>
        </w:numPr>
        <w:spacing w:line="240" w:lineRule="auto"/>
        <w:ind w:left="1080"/>
        <w:rPr>
          <w:rFonts w:ascii="Calibri" w:hAnsi="Calibri" w:cs="Calibri"/>
          <w:bCs/>
          <w:color w:val="212121"/>
          <w:shd w:val="clear" w:color="auto" w:fill="FFFFFF"/>
        </w:rPr>
      </w:pPr>
      <w:r w:rsidRPr="001900E4">
        <w:rPr>
          <w:rFonts w:ascii="Calibri" w:hAnsi="Calibri" w:cs="Calibri"/>
          <w:bCs/>
          <w:color w:val="212121"/>
          <w:shd w:val="clear" w:color="auto" w:fill="FFFFFF"/>
        </w:rPr>
        <w:t>The Associate in Science agreement</w:t>
      </w:r>
      <w:r w:rsidR="00CA663A">
        <w:rPr>
          <w:rFonts w:ascii="Calibri" w:hAnsi="Calibri" w:cs="Calibri"/>
          <w:bCs/>
          <w:color w:val="212121"/>
          <w:shd w:val="clear" w:color="auto" w:fill="FFFFFF"/>
        </w:rPr>
        <w:t xml:space="preserve"> (AS-T)</w:t>
      </w:r>
      <w:r w:rsidRPr="001900E4">
        <w:rPr>
          <w:rFonts w:ascii="Calibri" w:hAnsi="Calibri" w:cs="Calibri"/>
          <w:bCs/>
          <w:color w:val="212121"/>
          <w:shd w:val="clear" w:color="auto" w:fill="FFFFFF"/>
        </w:rPr>
        <w:t xml:space="preserve"> has </w:t>
      </w:r>
      <w:r w:rsidR="00CA663A">
        <w:rPr>
          <w:rFonts w:ascii="Calibri" w:hAnsi="Calibri" w:cs="Calibri"/>
          <w:bCs/>
          <w:color w:val="212121"/>
          <w:shd w:val="clear" w:color="auto" w:fill="FFFFFF"/>
        </w:rPr>
        <w:t>a clear</w:t>
      </w:r>
      <w:r w:rsidRPr="001900E4">
        <w:rPr>
          <w:rFonts w:ascii="Calibri" w:hAnsi="Calibri" w:cs="Calibri"/>
          <w:bCs/>
          <w:color w:val="212121"/>
          <w:shd w:val="clear" w:color="auto" w:fill="FFFFFF"/>
        </w:rPr>
        <w:t xml:space="preserve"> major focus </w:t>
      </w:r>
      <w:r w:rsidR="00CA663A">
        <w:rPr>
          <w:rFonts w:ascii="Calibri" w:hAnsi="Calibri" w:cs="Calibri"/>
          <w:bCs/>
          <w:color w:val="212121"/>
          <w:shd w:val="clear" w:color="auto" w:fill="FFFFFF"/>
        </w:rPr>
        <w:t xml:space="preserve">that allows </w:t>
      </w:r>
      <w:r w:rsidRPr="001900E4">
        <w:rPr>
          <w:rFonts w:ascii="Calibri" w:hAnsi="Calibri" w:cs="Calibri"/>
          <w:bCs/>
          <w:color w:val="212121"/>
          <w:shd w:val="clear" w:color="auto" w:fill="FFFFFF"/>
        </w:rPr>
        <w:t xml:space="preserve">students </w:t>
      </w:r>
      <w:r w:rsidR="00CA663A">
        <w:rPr>
          <w:rFonts w:ascii="Calibri" w:hAnsi="Calibri" w:cs="Calibri"/>
          <w:bCs/>
          <w:color w:val="212121"/>
          <w:shd w:val="clear" w:color="auto" w:fill="FFFFFF"/>
        </w:rPr>
        <w:t xml:space="preserve">to </w:t>
      </w:r>
      <w:r w:rsidRPr="001900E4">
        <w:rPr>
          <w:rFonts w:ascii="Calibri" w:hAnsi="Calibri" w:cs="Calibri"/>
          <w:bCs/>
          <w:color w:val="212121"/>
          <w:shd w:val="clear" w:color="auto" w:fill="FFFFFF"/>
        </w:rPr>
        <w:t>arrive at the four-year school</w:t>
      </w:r>
      <w:r w:rsidR="00CA663A">
        <w:rPr>
          <w:rFonts w:ascii="Calibri" w:hAnsi="Calibri" w:cs="Calibri"/>
          <w:bCs/>
          <w:color w:val="212121"/>
          <w:shd w:val="clear" w:color="auto" w:fill="FFFFFF"/>
        </w:rPr>
        <w:t>s with</w:t>
      </w:r>
      <w:r w:rsidRPr="001900E4">
        <w:rPr>
          <w:rFonts w:ascii="Calibri" w:hAnsi="Calibri" w:cs="Calibri"/>
          <w:bCs/>
          <w:color w:val="212121"/>
          <w:shd w:val="clear" w:color="auto" w:fill="FFFFFF"/>
        </w:rPr>
        <w:t xml:space="preserve"> </w:t>
      </w:r>
      <w:proofErr w:type="gramStart"/>
      <w:r w:rsidRPr="001900E4">
        <w:rPr>
          <w:rFonts w:ascii="Calibri" w:hAnsi="Calibri" w:cs="Calibri"/>
          <w:bCs/>
          <w:color w:val="212121"/>
          <w:shd w:val="clear" w:color="auto" w:fill="FFFFFF"/>
        </w:rPr>
        <w:t>Junior</w:t>
      </w:r>
      <w:proofErr w:type="gramEnd"/>
      <w:r w:rsidRPr="001900E4">
        <w:rPr>
          <w:rFonts w:ascii="Calibri" w:hAnsi="Calibri" w:cs="Calibri"/>
          <w:bCs/>
          <w:color w:val="212121"/>
          <w:shd w:val="clear" w:color="auto" w:fill="FFFFFF"/>
        </w:rPr>
        <w:t xml:space="preserve"> standing in their major.  </w:t>
      </w:r>
    </w:p>
    <w:p w14:paraId="0522464A" w14:textId="48C3EC3B" w:rsidR="00CA663A" w:rsidRDefault="00CA663A" w:rsidP="00674A17">
      <w:pPr>
        <w:pStyle w:val="ListParagraph"/>
        <w:numPr>
          <w:ilvl w:val="0"/>
          <w:numId w:val="13"/>
        </w:numPr>
        <w:spacing w:line="240" w:lineRule="auto"/>
        <w:ind w:left="1080"/>
        <w:rPr>
          <w:rFonts w:ascii="Calibri" w:hAnsi="Calibri" w:cs="Calibri"/>
          <w:bCs/>
          <w:color w:val="212121"/>
          <w:shd w:val="clear" w:color="auto" w:fill="FFFFFF"/>
        </w:rPr>
      </w:pPr>
      <w:r>
        <w:rPr>
          <w:rFonts w:ascii="Calibri" w:hAnsi="Calibri" w:cs="Calibri"/>
          <w:bCs/>
          <w:color w:val="212121"/>
          <w:shd w:val="clear" w:color="auto" w:fill="FFFFFF"/>
        </w:rPr>
        <w:t>T</w:t>
      </w:r>
      <w:r w:rsidR="001900E4" w:rsidRPr="001900E4">
        <w:rPr>
          <w:rFonts w:ascii="Calibri" w:hAnsi="Calibri" w:cs="Calibri"/>
          <w:bCs/>
          <w:color w:val="212121"/>
          <w:shd w:val="clear" w:color="auto" w:fill="FFFFFF"/>
        </w:rPr>
        <w:t>he Associate in Applied Sciences</w:t>
      </w:r>
      <w:r>
        <w:rPr>
          <w:rFonts w:ascii="Calibri" w:hAnsi="Calibri" w:cs="Calibri"/>
          <w:bCs/>
          <w:color w:val="212121"/>
          <w:shd w:val="clear" w:color="auto" w:fill="FFFFFF"/>
        </w:rPr>
        <w:t xml:space="preserve"> (AAS)</w:t>
      </w:r>
      <w:r w:rsidR="001900E4" w:rsidRPr="001900E4">
        <w:rPr>
          <w:rFonts w:ascii="Calibri" w:hAnsi="Calibri" w:cs="Calibri"/>
          <w:bCs/>
          <w:color w:val="212121"/>
          <w:shd w:val="clear" w:color="auto" w:fill="FFFFFF"/>
        </w:rPr>
        <w:t xml:space="preserve"> is more of a process</w:t>
      </w:r>
      <w:r>
        <w:rPr>
          <w:rFonts w:ascii="Calibri" w:hAnsi="Calibri" w:cs="Calibri"/>
          <w:bCs/>
          <w:color w:val="212121"/>
          <w:shd w:val="clear" w:color="auto" w:fill="FFFFFF"/>
        </w:rPr>
        <w:t xml:space="preserve"> kind of degree.</w:t>
      </w:r>
    </w:p>
    <w:p w14:paraId="7132F426" w14:textId="5C969E26" w:rsidR="00CA663A" w:rsidRDefault="00CA663A" w:rsidP="00E65094">
      <w:pPr>
        <w:pStyle w:val="ListParagraph"/>
        <w:numPr>
          <w:ilvl w:val="0"/>
          <w:numId w:val="13"/>
        </w:numPr>
        <w:spacing w:line="240" w:lineRule="auto"/>
        <w:ind w:left="1080"/>
        <w:rPr>
          <w:rFonts w:ascii="Calibri" w:hAnsi="Calibri" w:cs="Calibri"/>
          <w:bCs/>
          <w:color w:val="212121"/>
          <w:shd w:val="clear" w:color="auto" w:fill="FFFFFF"/>
        </w:rPr>
      </w:pPr>
      <w:r>
        <w:rPr>
          <w:rFonts w:ascii="Calibri" w:hAnsi="Calibri" w:cs="Calibri"/>
          <w:bCs/>
          <w:color w:val="212121"/>
          <w:shd w:val="clear" w:color="auto" w:fill="FFFFFF"/>
        </w:rPr>
        <w:t>T</w:t>
      </w:r>
      <w:r w:rsidR="001900E4" w:rsidRPr="001900E4">
        <w:rPr>
          <w:rFonts w:ascii="Calibri" w:hAnsi="Calibri" w:cs="Calibri"/>
          <w:bCs/>
          <w:color w:val="212121"/>
          <w:shd w:val="clear" w:color="auto" w:fill="FFFFFF"/>
        </w:rPr>
        <w:t>he Associate in Applied Sciences-Transfer</w:t>
      </w:r>
      <w:r>
        <w:rPr>
          <w:rFonts w:ascii="Calibri" w:hAnsi="Calibri" w:cs="Calibri"/>
          <w:bCs/>
          <w:color w:val="212121"/>
          <w:shd w:val="clear" w:color="auto" w:fill="FFFFFF"/>
        </w:rPr>
        <w:t xml:space="preserve"> (AAS-T)</w:t>
      </w:r>
      <w:r w:rsidR="001900E4" w:rsidRPr="001900E4">
        <w:rPr>
          <w:rFonts w:ascii="Calibri" w:hAnsi="Calibri" w:cs="Calibri"/>
          <w:bCs/>
          <w:color w:val="212121"/>
          <w:shd w:val="clear" w:color="auto" w:fill="FFFFFF"/>
        </w:rPr>
        <w:t xml:space="preserve"> </w:t>
      </w:r>
      <w:r w:rsidR="00F0356F">
        <w:rPr>
          <w:rFonts w:ascii="Calibri" w:hAnsi="Calibri" w:cs="Calibri"/>
          <w:bCs/>
          <w:color w:val="212121"/>
          <w:shd w:val="clear" w:color="auto" w:fill="FFFFFF"/>
        </w:rPr>
        <w:t>incorporates</w:t>
      </w:r>
      <w:r w:rsidR="001900E4" w:rsidRPr="001900E4">
        <w:rPr>
          <w:rFonts w:ascii="Calibri" w:hAnsi="Calibri" w:cs="Calibri"/>
          <w:bCs/>
          <w:color w:val="212121"/>
          <w:shd w:val="clear" w:color="auto" w:fill="FFFFFF"/>
        </w:rPr>
        <w:t xml:space="preserve"> elements of the DTA and the AS degrees </w:t>
      </w:r>
      <w:r>
        <w:rPr>
          <w:rFonts w:ascii="Calibri" w:hAnsi="Calibri" w:cs="Calibri"/>
          <w:bCs/>
          <w:color w:val="212121"/>
          <w:shd w:val="clear" w:color="auto" w:fill="FFFFFF"/>
        </w:rPr>
        <w:t>i</w:t>
      </w:r>
      <w:r w:rsidR="00E65094">
        <w:rPr>
          <w:rFonts w:ascii="Calibri" w:hAnsi="Calibri" w:cs="Calibri"/>
          <w:bCs/>
          <w:color w:val="212121"/>
          <w:shd w:val="clear" w:color="auto" w:fill="FFFFFF"/>
        </w:rPr>
        <w:t>nto the AAS degree.</w:t>
      </w:r>
    </w:p>
    <w:p w14:paraId="193E026E" w14:textId="77777777" w:rsidR="00E65094" w:rsidRPr="00E65094" w:rsidRDefault="00E65094" w:rsidP="00E65094">
      <w:pPr>
        <w:pStyle w:val="ListParagraph"/>
        <w:spacing w:line="240" w:lineRule="auto"/>
        <w:ind w:left="1080"/>
        <w:rPr>
          <w:rFonts w:ascii="Calibri" w:hAnsi="Calibri" w:cs="Calibri"/>
          <w:bCs/>
          <w:color w:val="212121"/>
          <w:shd w:val="clear" w:color="auto" w:fill="FFFFFF"/>
        </w:rPr>
      </w:pPr>
    </w:p>
    <w:p w14:paraId="6136FD9F" w14:textId="540F2580" w:rsidR="001900E4" w:rsidRDefault="0060081E" w:rsidP="00E65094">
      <w:pPr>
        <w:spacing w:line="240" w:lineRule="auto"/>
        <w:ind w:left="720"/>
        <w:rPr>
          <w:rFonts w:ascii="Calibri" w:hAnsi="Calibri" w:cs="Calibri"/>
          <w:bCs/>
          <w:color w:val="212121"/>
          <w:shd w:val="clear" w:color="auto" w:fill="FFFFFF"/>
        </w:rPr>
      </w:pPr>
      <w:r>
        <w:rPr>
          <w:rFonts w:ascii="Calibri" w:hAnsi="Calibri" w:cs="Calibri"/>
          <w:bCs/>
          <w:color w:val="212121"/>
          <w:shd w:val="clear" w:color="auto" w:fill="FFFFFF"/>
        </w:rPr>
        <w:t xml:space="preserve">Phil </w:t>
      </w:r>
      <w:r w:rsidR="004A5507">
        <w:rPr>
          <w:rFonts w:ascii="Calibri" w:hAnsi="Calibri" w:cs="Calibri"/>
          <w:bCs/>
          <w:color w:val="212121"/>
          <w:shd w:val="clear" w:color="auto" w:fill="FFFFFF"/>
        </w:rPr>
        <w:t xml:space="preserve">further </w:t>
      </w:r>
      <w:r>
        <w:rPr>
          <w:rFonts w:ascii="Calibri" w:hAnsi="Calibri" w:cs="Calibri"/>
          <w:bCs/>
          <w:color w:val="212121"/>
          <w:shd w:val="clear" w:color="auto" w:fill="FFFFFF"/>
        </w:rPr>
        <w:t>explained that w</w:t>
      </w:r>
      <w:r w:rsidR="001900E4" w:rsidRPr="00CA663A">
        <w:rPr>
          <w:rFonts w:ascii="Calibri" w:hAnsi="Calibri" w:cs="Calibri"/>
          <w:bCs/>
          <w:color w:val="212121"/>
          <w:shd w:val="clear" w:color="auto" w:fill="FFFFFF"/>
        </w:rPr>
        <w:t>ithin the structure of the Direct Transfer Agreement, the state of Washington has also built o</w:t>
      </w:r>
      <w:r w:rsidR="00CA663A">
        <w:rPr>
          <w:rFonts w:ascii="Calibri" w:hAnsi="Calibri" w:cs="Calibri"/>
          <w:bCs/>
          <w:color w:val="212121"/>
          <w:shd w:val="clear" w:color="auto" w:fill="FFFFFF"/>
        </w:rPr>
        <w:t>n additional agreements</w:t>
      </w:r>
      <w:r w:rsidR="001900E4" w:rsidRPr="00CA663A">
        <w:rPr>
          <w:rFonts w:ascii="Calibri" w:hAnsi="Calibri" w:cs="Calibri"/>
          <w:bCs/>
          <w:color w:val="212121"/>
          <w:shd w:val="clear" w:color="auto" w:fill="FFFFFF"/>
        </w:rPr>
        <w:t xml:space="preserve"> called Major-Related Programs.  Currently the state has </w:t>
      </w:r>
      <w:r w:rsidR="00CA663A">
        <w:rPr>
          <w:rFonts w:ascii="Calibri" w:hAnsi="Calibri" w:cs="Calibri"/>
          <w:bCs/>
          <w:color w:val="212121"/>
          <w:shd w:val="clear" w:color="auto" w:fill="FFFFFF"/>
        </w:rPr>
        <w:t>eight</w:t>
      </w:r>
      <w:r w:rsidR="001900E4" w:rsidRPr="00CA663A">
        <w:rPr>
          <w:rFonts w:ascii="Calibri" w:hAnsi="Calibri" w:cs="Calibri"/>
          <w:bCs/>
          <w:color w:val="212121"/>
          <w:shd w:val="clear" w:color="auto" w:fill="FFFFFF"/>
        </w:rPr>
        <w:t xml:space="preserve"> of t</w:t>
      </w:r>
      <w:r>
        <w:rPr>
          <w:rFonts w:ascii="Calibri" w:hAnsi="Calibri" w:cs="Calibri"/>
          <w:bCs/>
          <w:color w:val="212121"/>
          <w:shd w:val="clear" w:color="auto" w:fill="FFFFFF"/>
        </w:rPr>
        <w:t>hese agreements in place.  They</w:t>
      </w:r>
      <w:r w:rsidR="001900E4" w:rsidRPr="00CA663A">
        <w:rPr>
          <w:rFonts w:ascii="Calibri" w:hAnsi="Calibri" w:cs="Calibri"/>
          <w:bCs/>
          <w:color w:val="212121"/>
          <w:shd w:val="clear" w:color="auto" w:fill="FFFFFF"/>
        </w:rPr>
        <w:t xml:space="preserve"> are </w:t>
      </w:r>
      <w:r w:rsidR="001900E4" w:rsidRPr="00CA663A">
        <w:rPr>
          <w:rFonts w:ascii="Calibri" w:hAnsi="Calibri" w:cs="Calibri"/>
          <w:bCs/>
          <w:color w:val="212121"/>
          <w:shd w:val="clear" w:color="auto" w:fill="FFFFFF"/>
        </w:rPr>
        <w:lastRenderedPageBreak/>
        <w:t xml:space="preserve">additional signed agreements between the </w:t>
      </w:r>
      <w:r w:rsidR="00CA663A">
        <w:rPr>
          <w:rFonts w:ascii="Calibri" w:hAnsi="Calibri" w:cs="Calibri"/>
          <w:bCs/>
          <w:color w:val="212121"/>
          <w:shd w:val="clear" w:color="auto" w:fill="FFFFFF"/>
        </w:rPr>
        <w:t>C</w:t>
      </w:r>
      <w:r w:rsidR="001900E4" w:rsidRPr="00CA663A">
        <w:rPr>
          <w:rFonts w:ascii="Calibri" w:hAnsi="Calibri" w:cs="Calibri"/>
          <w:bCs/>
          <w:color w:val="212121"/>
          <w:shd w:val="clear" w:color="auto" w:fill="FFFFFF"/>
        </w:rPr>
        <w:t xml:space="preserve">ommunity &amp; </w:t>
      </w:r>
      <w:r w:rsidR="00CA663A">
        <w:rPr>
          <w:rFonts w:ascii="Calibri" w:hAnsi="Calibri" w:cs="Calibri"/>
          <w:bCs/>
          <w:color w:val="212121"/>
          <w:shd w:val="clear" w:color="auto" w:fill="FFFFFF"/>
        </w:rPr>
        <w:t>T</w:t>
      </w:r>
      <w:r w:rsidR="001900E4" w:rsidRPr="00CA663A">
        <w:rPr>
          <w:rFonts w:ascii="Calibri" w:hAnsi="Calibri" w:cs="Calibri"/>
          <w:bCs/>
          <w:color w:val="212121"/>
          <w:shd w:val="clear" w:color="auto" w:fill="FFFFFF"/>
        </w:rPr>
        <w:t xml:space="preserve">echnical </w:t>
      </w:r>
      <w:r w:rsidR="00CA663A">
        <w:rPr>
          <w:rFonts w:ascii="Calibri" w:hAnsi="Calibri" w:cs="Calibri"/>
          <w:bCs/>
          <w:color w:val="212121"/>
          <w:shd w:val="clear" w:color="auto" w:fill="FFFFFF"/>
        </w:rPr>
        <w:t>C</w:t>
      </w:r>
      <w:r w:rsidR="001900E4" w:rsidRPr="00CA663A">
        <w:rPr>
          <w:rFonts w:ascii="Calibri" w:hAnsi="Calibri" w:cs="Calibri"/>
          <w:bCs/>
          <w:color w:val="212121"/>
          <w:shd w:val="clear" w:color="auto" w:fill="FFFFFF"/>
        </w:rPr>
        <w:t xml:space="preserve">ollege system and a smaller subset of the </w:t>
      </w:r>
      <w:r w:rsidR="00CA663A">
        <w:rPr>
          <w:rFonts w:ascii="Calibri" w:hAnsi="Calibri" w:cs="Calibri"/>
          <w:bCs/>
          <w:color w:val="212121"/>
          <w:shd w:val="clear" w:color="auto" w:fill="FFFFFF"/>
        </w:rPr>
        <w:t>four</w:t>
      </w:r>
      <w:r w:rsidR="001900E4" w:rsidRPr="00CA663A">
        <w:rPr>
          <w:rFonts w:ascii="Calibri" w:hAnsi="Calibri" w:cs="Calibri"/>
          <w:bCs/>
          <w:color w:val="212121"/>
          <w:shd w:val="clear" w:color="auto" w:fill="FFFFFF"/>
        </w:rPr>
        <w:t>-year institutions</w:t>
      </w:r>
      <w:r>
        <w:rPr>
          <w:rFonts w:ascii="Calibri" w:hAnsi="Calibri" w:cs="Calibri"/>
          <w:bCs/>
          <w:color w:val="212121"/>
          <w:shd w:val="clear" w:color="auto" w:fill="FFFFFF"/>
        </w:rPr>
        <w:t xml:space="preserve"> (c</w:t>
      </w:r>
      <w:r w:rsidR="001900E4" w:rsidRPr="00CA663A">
        <w:rPr>
          <w:rFonts w:ascii="Calibri" w:hAnsi="Calibri" w:cs="Calibri"/>
          <w:bCs/>
          <w:color w:val="212121"/>
          <w:shd w:val="clear" w:color="auto" w:fill="FFFFFF"/>
        </w:rPr>
        <w:t xml:space="preserve">urrently, TCC has implemented </w:t>
      </w:r>
      <w:r>
        <w:rPr>
          <w:rFonts w:ascii="Calibri" w:hAnsi="Calibri" w:cs="Calibri"/>
          <w:bCs/>
          <w:color w:val="212121"/>
          <w:shd w:val="clear" w:color="auto" w:fill="FFFFFF"/>
        </w:rPr>
        <w:t>five</w:t>
      </w:r>
      <w:r w:rsidR="001900E4" w:rsidRPr="00CA663A">
        <w:rPr>
          <w:rFonts w:ascii="Calibri" w:hAnsi="Calibri" w:cs="Calibri"/>
          <w:bCs/>
          <w:color w:val="212121"/>
          <w:shd w:val="clear" w:color="auto" w:fill="FFFFFF"/>
        </w:rPr>
        <w:t xml:space="preserve"> of these</w:t>
      </w:r>
      <w:r>
        <w:rPr>
          <w:rFonts w:ascii="Calibri" w:hAnsi="Calibri" w:cs="Calibri"/>
          <w:bCs/>
          <w:color w:val="212121"/>
          <w:shd w:val="clear" w:color="auto" w:fill="FFFFFF"/>
        </w:rPr>
        <w:t>)</w:t>
      </w:r>
      <w:r w:rsidR="001900E4" w:rsidRPr="00CA663A">
        <w:rPr>
          <w:rFonts w:ascii="Calibri" w:hAnsi="Calibri" w:cs="Calibri"/>
          <w:bCs/>
          <w:color w:val="212121"/>
          <w:shd w:val="clear" w:color="auto" w:fill="FFFFFF"/>
        </w:rPr>
        <w:t>.  One of the stated purposes for these MRPs is to reduce the time to completion of a Bachelor’s Degree</w:t>
      </w:r>
      <w:r w:rsidR="00CA663A">
        <w:rPr>
          <w:rFonts w:ascii="Calibri" w:hAnsi="Calibri" w:cs="Calibri"/>
          <w:bCs/>
          <w:color w:val="212121"/>
          <w:shd w:val="clear" w:color="auto" w:fill="FFFFFF"/>
        </w:rPr>
        <w:t xml:space="preserve">.  The </w:t>
      </w:r>
      <w:r w:rsidR="003449AF">
        <w:rPr>
          <w:rFonts w:ascii="Calibri" w:hAnsi="Calibri" w:cs="Calibri"/>
          <w:bCs/>
          <w:color w:val="212121"/>
          <w:shd w:val="clear" w:color="auto" w:fill="FFFFFF"/>
        </w:rPr>
        <w:t>MRPs</w:t>
      </w:r>
      <w:r w:rsidR="00CA663A">
        <w:rPr>
          <w:rFonts w:ascii="Calibri" w:hAnsi="Calibri" w:cs="Calibri"/>
          <w:bCs/>
          <w:color w:val="212121"/>
          <w:shd w:val="clear" w:color="auto" w:fill="FFFFFF"/>
        </w:rPr>
        <w:t xml:space="preserve"> are</w:t>
      </w:r>
      <w:r w:rsidR="001900E4" w:rsidRPr="00CA663A">
        <w:rPr>
          <w:rFonts w:ascii="Calibri" w:hAnsi="Calibri" w:cs="Calibri"/>
          <w:bCs/>
          <w:color w:val="212121"/>
          <w:shd w:val="clear" w:color="auto" w:fill="FFFFFF"/>
        </w:rPr>
        <w:t xml:space="preserve"> focused toward earning a Bachelor’s degree with a very specific major.  MRPs require statewide agreements</w:t>
      </w:r>
      <w:r>
        <w:rPr>
          <w:rFonts w:ascii="Calibri" w:hAnsi="Calibri" w:cs="Calibri"/>
          <w:bCs/>
          <w:color w:val="212121"/>
          <w:shd w:val="clear" w:color="auto" w:fill="FFFFFF"/>
        </w:rPr>
        <w:t>, so TCC cannot create a new MRP; w</w:t>
      </w:r>
      <w:r w:rsidR="001900E4" w:rsidRPr="00CA663A">
        <w:rPr>
          <w:rFonts w:ascii="Calibri" w:hAnsi="Calibri" w:cs="Calibri"/>
          <w:bCs/>
          <w:color w:val="212121"/>
          <w:shd w:val="clear" w:color="auto" w:fill="FFFFFF"/>
        </w:rPr>
        <w:t>e can only implement the ones that have already been negotiated at the statewide level.  What we can do (and are doing)</w:t>
      </w:r>
      <w:r>
        <w:rPr>
          <w:rFonts w:ascii="Calibri" w:hAnsi="Calibri" w:cs="Calibri"/>
          <w:bCs/>
          <w:color w:val="212121"/>
          <w:shd w:val="clear" w:color="auto" w:fill="FFFFFF"/>
        </w:rPr>
        <w:t>, however,</w:t>
      </w:r>
      <w:r w:rsidR="001900E4" w:rsidRPr="00CA663A">
        <w:rPr>
          <w:rFonts w:ascii="Calibri" w:hAnsi="Calibri" w:cs="Calibri"/>
          <w:bCs/>
          <w:color w:val="212121"/>
          <w:shd w:val="clear" w:color="auto" w:fill="FFFFFF"/>
        </w:rPr>
        <w:t xml:space="preserve"> is create </w:t>
      </w:r>
      <w:r>
        <w:rPr>
          <w:rFonts w:ascii="Calibri" w:hAnsi="Calibri" w:cs="Calibri"/>
          <w:bCs/>
          <w:color w:val="212121"/>
          <w:shd w:val="clear" w:color="auto" w:fill="FFFFFF"/>
        </w:rPr>
        <w:t>S</w:t>
      </w:r>
      <w:r w:rsidR="001900E4" w:rsidRPr="00CA663A">
        <w:rPr>
          <w:rFonts w:ascii="Calibri" w:hAnsi="Calibri" w:cs="Calibri"/>
          <w:bCs/>
          <w:color w:val="212121"/>
          <w:shd w:val="clear" w:color="auto" w:fill="FFFFFF"/>
        </w:rPr>
        <w:t xml:space="preserve">pecializations (also called </w:t>
      </w:r>
      <w:r w:rsidR="00B93A16">
        <w:rPr>
          <w:rFonts w:ascii="Calibri" w:hAnsi="Calibri" w:cs="Calibri"/>
          <w:bCs/>
          <w:color w:val="212121"/>
          <w:shd w:val="clear" w:color="auto" w:fill="FFFFFF"/>
        </w:rPr>
        <w:t>“</w:t>
      </w:r>
      <w:r>
        <w:rPr>
          <w:rFonts w:ascii="Calibri" w:hAnsi="Calibri" w:cs="Calibri"/>
          <w:bCs/>
          <w:color w:val="212121"/>
          <w:shd w:val="clear" w:color="auto" w:fill="FFFFFF"/>
        </w:rPr>
        <w:t>C</w:t>
      </w:r>
      <w:r w:rsidR="001900E4" w:rsidRPr="00CA663A">
        <w:rPr>
          <w:rFonts w:ascii="Calibri" w:hAnsi="Calibri" w:cs="Calibri"/>
          <w:bCs/>
          <w:color w:val="212121"/>
          <w:shd w:val="clear" w:color="auto" w:fill="FFFFFF"/>
        </w:rPr>
        <w:t>oncentrations</w:t>
      </w:r>
      <w:r w:rsidR="00B93A16">
        <w:rPr>
          <w:rFonts w:ascii="Calibri" w:hAnsi="Calibri" w:cs="Calibri"/>
          <w:bCs/>
          <w:color w:val="212121"/>
          <w:shd w:val="clear" w:color="auto" w:fill="FFFFFF"/>
        </w:rPr>
        <w:t>”</w:t>
      </w:r>
      <w:r w:rsidR="001900E4" w:rsidRPr="00CA663A">
        <w:rPr>
          <w:rFonts w:ascii="Calibri" w:hAnsi="Calibri" w:cs="Calibri"/>
          <w:bCs/>
          <w:color w:val="212121"/>
          <w:shd w:val="clear" w:color="auto" w:fill="FFFFFF"/>
        </w:rPr>
        <w:t xml:space="preserve"> in the Prof-Tech area).  The</w:t>
      </w:r>
      <w:r>
        <w:rPr>
          <w:rFonts w:ascii="Calibri" w:hAnsi="Calibri" w:cs="Calibri"/>
          <w:bCs/>
          <w:color w:val="212121"/>
          <w:shd w:val="clear" w:color="auto" w:fill="FFFFFF"/>
        </w:rPr>
        <w:t>ir</w:t>
      </w:r>
      <w:r w:rsidR="001900E4" w:rsidRPr="00CA663A">
        <w:rPr>
          <w:rFonts w:ascii="Calibri" w:hAnsi="Calibri" w:cs="Calibri"/>
          <w:bCs/>
          <w:color w:val="212121"/>
          <w:shd w:val="clear" w:color="auto" w:fill="FFFFFF"/>
        </w:rPr>
        <w:t xml:space="preserve"> </w:t>
      </w:r>
      <w:r>
        <w:rPr>
          <w:rFonts w:ascii="Calibri" w:hAnsi="Calibri" w:cs="Calibri"/>
          <w:bCs/>
          <w:color w:val="212121"/>
          <w:shd w:val="clear" w:color="auto" w:fill="FFFFFF"/>
        </w:rPr>
        <w:t>aim</w:t>
      </w:r>
      <w:r w:rsidR="001900E4" w:rsidRPr="00CA663A">
        <w:rPr>
          <w:rFonts w:ascii="Calibri" w:hAnsi="Calibri" w:cs="Calibri"/>
          <w:bCs/>
          <w:color w:val="212121"/>
          <w:shd w:val="clear" w:color="auto" w:fill="FFFFFF"/>
        </w:rPr>
        <w:t xml:space="preserve"> is very similar to </w:t>
      </w:r>
      <w:r>
        <w:rPr>
          <w:rFonts w:ascii="Calibri" w:hAnsi="Calibri" w:cs="Calibri"/>
          <w:bCs/>
          <w:color w:val="212121"/>
          <w:shd w:val="clear" w:color="auto" w:fill="FFFFFF"/>
        </w:rPr>
        <w:t xml:space="preserve">that of </w:t>
      </w:r>
      <w:r w:rsidR="001900E4" w:rsidRPr="00CA663A">
        <w:rPr>
          <w:rFonts w:ascii="Calibri" w:hAnsi="Calibri" w:cs="Calibri"/>
          <w:bCs/>
          <w:color w:val="212121"/>
          <w:shd w:val="clear" w:color="auto" w:fill="FFFFFF"/>
        </w:rPr>
        <w:t>the</w:t>
      </w:r>
      <w:r>
        <w:rPr>
          <w:rFonts w:ascii="Calibri" w:hAnsi="Calibri" w:cs="Calibri"/>
          <w:bCs/>
          <w:color w:val="212121"/>
          <w:shd w:val="clear" w:color="auto" w:fill="FFFFFF"/>
        </w:rPr>
        <w:t xml:space="preserve"> MRP</w:t>
      </w:r>
      <w:r w:rsidR="003449AF">
        <w:rPr>
          <w:rFonts w:ascii="Calibri" w:hAnsi="Calibri" w:cs="Calibri"/>
          <w:bCs/>
          <w:color w:val="212121"/>
          <w:shd w:val="clear" w:color="auto" w:fill="FFFFFF"/>
        </w:rPr>
        <w:t>:</w:t>
      </w:r>
      <w:r>
        <w:rPr>
          <w:rFonts w:ascii="Calibri" w:hAnsi="Calibri" w:cs="Calibri"/>
          <w:bCs/>
          <w:color w:val="212121"/>
          <w:shd w:val="clear" w:color="auto" w:fill="FFFFFF"/>
        </w:rPr>
        <w:t xml:space="preserve"> the Specializations </w:t>
      </w:r>
      <w:r w:rsidR="001900E4" w:rsidRPr="00CA663A">
        <w:rPr>
          <w:rFonts w:ascii="Calibri" w:hAnsi="Calibri" w:cs="Calibri"/>
          <w:bCs/>
          <w:color w:val="212121"/>
          <w:shd w:val="clear" w:color="auto" w:fill="FFFFFF"/>
        </w:rPr>
        <w:t>guid</w:t>
      </w:r>
      <w:r>
        <w:rPr>
          <w:rFonts w:ascii="Calibri" w:hAnsi="Calibri" w:cs="Calibri"/>
          <w:bCs/>
          <w:color w:val="212121"/>
          <w:shd w:val="clear" w:color="auto" w:fill="FFFFFF"/>
        </w:rPr>
        <w:t>e</w:t>
      </w:r>
      <w:r w:rsidR="001900E4" w:rsidRPr="00CA663A">
        <w:rPr>
          <w:rFonts w:ascii="Calibri" w:hAnsi="Calibri" w:cs="Calibri"/>
          <w:bCs/>
          <w:color w:val="212121"/>
          <w:shd w:val="clear" w:color="auto" w:fill="FFFFFF"/>
        </w:rPr>
        <w:t xml:space="preserve"> students toward specific educational goals.  Most of the </w:t>
      </w:r>
      <w:r>
        <w:rPr>
          <w:rFonts w:ascii="Calibri" w:hAnsi="Calibri" w:cs="Calibri"/>
          <w:bCs/>
          <w:color w:val="212121"/>
          <w:shd w:val="clear" w:color="auto" w:fill="FFFFFF"/>
        </w:rPr>
        <w:t>S</w:t>
      </w:r>
      <w:r w:rsidR="001900E4" w:rsidRPr="00CA663A">
        <w:rPr>
          <w:rFonts w:ascii="Calibri" w:hAnsi="Calibri" w:cs="Calibri"/>
          <w:bCs/>
          <w:color w:val="212121"/>
          <w:shd w:val="clear" w:color="auto" w:fill="FFFFFF"/>
        </w:rPr>
        <w:t>pecializations work that is go</w:t>
      </w:r>
      <w:r>
        <w:rPr>
          <w:rFonts w:ascii="Calibri" w:hAnsi="Calibri" w:cs="Calibri"/>
          <w:bCs/>
          <w:color w:val="212121"/>
          <w:shd w:val="clear" w:color="auto" w:fill="FFFFFF"/>
        </w:rPr>
        <w:t>ing on right now at TCC is</w:t>
      </w:r>
      <w:r w:rsidR="001900E4" w:rsidRPr="00CA663A">
        <w:rPr>
          <w:rFonts w:ascii="Calibri" w:hAnsi="Calibri" w:cs="Calibri"/>
          <w:bCs/>
          <w:color w:val="212121"/>
          <w:shd w:val="clear" w:color="auto" w:fill="FFFFFF"/>
        </w:rPr>
        <w:t xml:space="preserve"> for the Associate of Arts Option </w:t>
      </w:r>
      <w:proofErr w:type="gramStart"/>
      <w:r w:rsidR="001900E4" w:rsidRPr="00CA663A">
        <w:rPr>
          <w:rFonts w:ascii="Calibri" w:hAnsi="Calibri" w:cs="Calibri"/>
          <w:bCs/>
          <w:color w:val="212121"/>
          <w:shd w:val="clear" w:color="auto" w:fill="FFFFFF"/>
        </w:rPr>
        <w:t>A</w:t>
      </w:r>
      <w:proofErr w:type="gramEnd"/>
      <w:r w:rsidR="001900E4" w:rsidRPr="00CA663A">
        <w:rPr>
          <w:rFonts w:ascii="Calibri" w:hAnsi="Calibri" w:cs="Calibri"/>
          <w:bCs/>
          <w:color w:val="212121"/>
          <w:shd w:val="clear" w:color="auto" w:fill="FFFFFF"/>
        </w:rPr>
        <w:t xml:space="preserve"> Degree</w:t>
      </w:r>
      <w:r>
        <w:rPr>
          <w:rFonts w:ascii="Calibri" w:hAnsi="Calibri" w:cs="Calibri"/>
          <w:bCs/>
          <w:color w:val="212121"/>
          <w:shd w:val="clear" w:color="auto" w:fill="FFFFFF"/>
        </w:rPr>
        <w:t>, which</w:t>
      </w:r>
      <w:r w:rsidR="001900E4" w:rsidRPr="00CA663A">
        <w:rPr>
          <w:rFonts w:ascii="Calibri" w:hAnsi="Calibri" w:cs="Calibri"/>
          <w:bCs/>
          <w:color w:val="212121"/>
          <w:shd w:val="clear" w:color="auto" w:fill="FFFFFF"/>
        </w:rPr>
        <w:t xml:space="preserve"> is our implementation of the </w:t>
      </w:r>
      <w:r w:rsidR="00E65094">
        <w:rPr>
          <w:rFonts w:ascii="Calibri" w:hAnsi="Calibri" w:cs="Calibri"/>
          <w:bCs/>
          <w:color w:val="212121"/>
          <w:shd w:val="clear" w:color="auto" w:fill="FFFFFF"/>
        </w:rPr>
        <w:t>Direct Transfer Agreement.</w:t>
      </w:r>
    </w:p>
    <w:p w14:paraId="641E7FA2" w14:textId="77777777" w:rsidR="00E65094" w:rsidRPr="00E65094" w:rsidRDefault="00E65094" w:rsidP="00E65094">
      <w:pPr>
        <w:spacing w:line="240" w:lineRule="auto"/>
        <w:ind w:left="720"/>
        <w:rPr>
          <w:rFonts w:ascii="Calibri" w:hAnsi="Calibri" w:cs="Calibri"/>
          <w:bCs/>
          <w:color w:val="212121"/>
          <w:shd w:val="clear" w:color="auto" w:fill="FFFFFF"/>
        </w:rPr>
      </w:pPr>
    </w:p>
    <w:p w14:paraId="637C5804" w14:textId="0BC6D339" w:rsidR="003406EC" w:rsidRPr="0060081E" w:rsidRDefault="00C146C2" w:rsidP="00674A17">
      <w:pPr>
        <w:pStyle w:val="ListParagraph"/>
        <w:numPr>
          <w:ilvl w:val="1"/>
          <w:numId w:val="4"/>
        </w:numPr>
        <w:spacing w:line="240" w:lineRule="auto"/>
        <w:rPr>
          <w:b/>
        </w:rPr>
      </w:pPr>
      <w:r w:rsidRPr="0060081E">
        <w:rPr>
          <w:b/>
        </w:rPr>
        <w:t xml:space="preserve">Art </w:t>
      </w:r>
      <w:r w:rsidR="00E43D94" w:rsidRPr="0060081E">
        <w:rPr>
          <w:b/>
        </w:rPr>
        <w:t xml:space="preserve">Specialization </w:t>
      </w:r>
      <w:r w:rsidRPr="0060081E">
        <w:rPr>
          <w:b/>
        </w:rPr>
        <w:t>(AA – Option A)</w:t>
      </w:r>
    </w:p>
    <w:p w14:paraId="02293E2B" w14:textId="0269D0E0" w:rsidR="0061577B" w:rsidRDefault="0061577B" w:rsidP="00674A17">
      <w:pPr>
        <w:pStyle w:val="ListParagraph"/>
        <w:spacing w:line="240" w:lineRule="auto"/>
        <w:ind w:left="1440"/>
      </w:pPr>
      <w:proofErr w:type="spellStart"/>
      <w:r>
        <w:t>Marit</w:t>
      </w:r>
      <w:proofErr w:type="spellEnd"/>
      <w:r>
        <w:t xml:space="preserve"> Berg</w:t>
      </w:r>
      <w:r w:rsidR="00546D03">
        <w:t xml:space="preserve"> moved to </w:t>
      </w:r>
      <w:r w:rsidR="007371E0">
        <w:t>recommend approval of</w:t>
      </w:r>
      <w:r w:rsidR="00546D03">
        <w:t xml:space="preserve"> the Art Specialization, w</w:t>
      </w:r>
      <w:r w:rsidR="000D5F55">
        <w:t xml:space="preserve">ith a second by Tracey </w:t>
      </w:r>
      <w:proofErr w:type="spellStart"/>
      <w:r w:rsidR="000D5F55">
        <w:t>Ushman</w:t>
      </w:r>
      <w:proofErr w:type="spellEnd"/>
      <w:r w:rsidR="000D5F55">
        <w:t xml:space="preserve">.  </w:t>
      </w:r>
      <w:proofErr w:type="spellStart"/>
      <w:r w:rsidR="000D5F55">
        <w:t>Marit</w:t>
      </w:r>
      <w:proofErr w:type="spellEnd"/>
      <w:r w:rsidR="000D5F55">
        <w:t xml:space="preserve"> </w:t>
      </w:r>
      <w:r w:rsidR="00546D03">
        <w:t xml:space="preserve">Berg </w:t>
      </w:r>
      <w:r w:rsidR="000D5F55">
        <w:t>explained</w:t>
      </w:r>
      <w:r w:rsidR="00546D03">
        <w:t xml:space="preserve"> that this specialization </w:t>
      </w:r>
      <w:r w:rsidR="004A5507">
        <w:t>is</w:t>
      </w:r>
      <w:r w:rsidR="00546D03">
        <w:t xml:space="preserve"> for transfer students who want to concentrate on an art-related field, </w:t>
      </w:r>
      <w:r w:rsidR="004A5507">
        <w:t>such as Architecture,</w:t>
      </w:r>
      <w:r w:rsidR="00546D03">
        <w:t xml:space="preserve"> </w:t>
      </w:r>
      <w:r w:rsidR="004A5507">
        <w:t>D</w:t>
      </w:r>
      <w:r w:rsidR="00546D03">
        <w:t>esign, Fine Arts</w:t>
      </w:r>
      <w:r w:rsidR="004A5507">
        <w:t>, or even Film</w:t>
      </w:r>
      <w:r w:rsidR="00546D03">
        <w:t xml:space="preserve">.  </w:t>
      </w:r>
      <w:r w:rsidR="004A5507">
        <w:t>TCC</w:t>
      </w:r>
      <w:r w:rsidR="00546D03">
        <w:t xml:space="preserve"> offer</w:t>
      </w:r>
      <w:r w:rsidR="004A5507">
        <w:t>s</w:t>
      </w:r>
      <w:r w:rsidR="00546D03">
        <w:t xml:space="preserve"> th</w:t>
      </w:r>
      <w:r w:rsidR="004A5507">
        <w:t>e foundation courses that</w:t>
      </w:r>
      <w:r w:rsidR="00546D03">
        <w:t xml:space="preserve"> these students would ta</w:t>
      </w:r>
      <w:r w:rsidR="004A5507">
        <w:t>ke</w:t>
      </w:r>
      <w:r w:rsidR="00546D03">
        <w:t xml:space="preserve">, and they would also be able to choose a specific discipline that they would be moving toward when they got to the </w:t>
      </w:r>
      <w:r w:rsidR="004A5507">
        <w:t>four</w:t>
      </w:r>
      <w:r w:rsidR="00546D03">
        <w:t xml:space="preserve">-year university to pursue their Bachelor’s.  </w:t>
      </w:r>
      <w:r w:rsidR="004A5507">
        <w:t>W</w:t>
      </w:r>
      <w:r w:rsidR="00546D03">
        <w:t xml:space="preserve">hat’s really important </w:t>
      </w:r>
      <w:r w:rsidR="001900E4">
        <w:t>is the inclusion of the Portfolio class (</w:t>
      </w:r>
      <w:r w:rsidR="004A5507">
        <w:t xml:space="preserve">ART </w:t>
      </w:r>
      <w:r w:rsidR="001900E4">
        <w:t xml:space="preserve">297), </w:t>
      </w:r>
      <w:r w:rsidR="004A5507">
        <w:t>which is being changed from one credit</w:t>
      </w:r>
      <w:r w:rsidR="001900E4">
        <w:t xml:space="preserve"> to a </w:t>
      </w:r>
      <w:r w:rsidR="007655B1">
        <w:t>two</w:t>
      </w:r>
      <w:r w:rsidR="001900E4">
        <w:t xml:space="preserve">-credit class.  </w:t>
      </w:r>
      <w:r w:rsidR="004A5507">
        <w:t>This is for students planning to</w:t>
      </w:r>
      <w:r w:rsidR="001900E4">
        <w:t xml:space="preserve"> apply for a Fine Arts degree at a </w:t>
      </w:r>
      <w:r w:rsidR="007655B1">
        <w:t>four</w:t>
      </w:r>
      <w:r w:rsidR="001900E4">
        <w:t>-year university</w:t>
      </w:r>
      <w:r w:rsidR="004A5507">
        <w:t>, which requires the presentation of</w:t>
      </w:r>
      <w:r w:rsidR="001900E4">
        <w:t xml:space="preserve"> a portfolio.  </w:t>
      </w:r>
      <w:r w:rsidR="004A5507">
        <w:t xml:space="preserve">The hope is </w:t>
      </w:r>
      <w:r w:rsidR="001900E4">
        <w:t xml:space="preserve">that it will also support an eventual Associate in Fine Arts MRP </w:t>
      </w:r>
      <w:r w:rsidR="00B93A16">
        <w:t>at TCC</w:t>
      </w:r>
      <w:r w:rsidR="001900E4">
        <w:t>.  Phil</w:t>
      </w:r>
      <w:r w:rsidR="004A5507">
        <w:t xml:space="preserve"> Hunter asked if this Specialization will</w:t>
      </w:r>
      <w:r w:rsidR="001900E4">
        <w:t xml:space="preserve"> fit within the structure of </w:t>
      </w:r>
      <w:r w:rsidR="004A5507">
        <w:t>TCC’s</w:t>
      </w:r>
      <w:r w:rsidR="001900E4">
        <w:t xml:space="preserve"> Option </w:t>
      </w:r>
      <w:proofErr w:type="gramStart"/>
      <w:r w:rsidR="001900E4">
        <w:t>A</w:t>
      </w:r>
      <w:proofErr w:type="gramEnd"/>
      <w:r w:rsidR="001900E4">
        <w:t xml:space="preserve"> Degree without adding any c</w:t>
      </w:r>
      <w:r w:rsidR="004A5507">
        <w:t xml:space="preserve">redits, and </w:t>
      </w:r>
      <w:proofErr w:type="spellStart"/>
      <w:r w:rsidR="001900E4">
        <w:t>Marit</w:t>
      </w:r>
      <w:proofErr w:type="spellEnd"/>
      <w:r w:rsidR="001900E4">
        <w:t xml:space="preserve"> replied that it does not add any credits; </w:t>
      </w:r>
      <w:r w:rsidR="004A5507">
        <w:t>the credits will remain</w:t>
      </w:r>
      <w:r w:rsidR="001900E4">
        <w:t xml:space="preserve"> at 90.</w:t>
      </w:r>
      <w:r w:rsidR="004A5507">
        <w:t xml:space="preserve">  The motion carried.</w:t>
      </w:r>
    </w:p>
    <w:p w14:paraId="3CD1326C" w14:textId="77777777" w:rsidR="000D5F55" w:rsidRPr="004A5507" w:rsidRDefault="000D5F55" w:rsidP="00674A17">
      <w:pPr>
        <w:pStyle w:val="ListParagraph"/>
        <w:spacing w:line="240" w:lineRule="auto"/>
        <w:ind w:left="1440"/>
        <w:rPr>
          <w:sz w:val="16"/>
          <w:szCs w:val="16"/>
        </w:rPr>
      </w:pPr>
    </w:p>
    <w:p w14:paraId="74AC9B84" w14:textId="439EAA25" w:rsidR="00C146C2" w:rsidRPr="00615B98" w:rsidRDefault="00C146C2" w:rsidP="00674A17">
      <w:pPr>
        <w:pStyle w:val="ListParagraph"/>
        <w:numPr>
          <w:ilvl w:val="1"/>
          <w:numId w:val="4"/>
        </w:numPr>
        <w:spacing w:line="240" w:lineRule="auto"/>
        <w:rPr>
          <w:b/>
        </w:rPr>
      </w:pPr>
      <w:r w:rsidRPr="00615B98">
        <w:rPr>
          <w:b/>
        </w:rPr>
        <w:t>Music</w:t>
      </w:r>
      <w:r w:rsidR="00E43D94" w:rsidRPr="00615B98">
        <w:rPr>
          <w:b/>
        </w:rPr>
        <w:t xml:space="preserve"> Specialization</w:t>
      </w:r>
      <w:r w:rsidRPr="00615B98">
        <w:rPr>
          <w:b/>
        </w:rPr>
        <w:t xml:space="preserve"> (AA – Option A)</w:t>
      </w:r>
    </w:p>
    <w:p w14:paraId="4DE149CD" w14:textId="54710C7F" w:rsidR="00E65094" w:rsidRPr="00E65094" w:rsidRDefault="000D5F55" w:rsidP="00E65094">
      <w:pPr>
        <w:pStyle w:val="ListParagraph"/>
        <w:spacing w:line="240" w:lineRule="auto"/>
        <w:ind w:left="1440"/>
      </w:pPr>
      <w:r>
        <w:t>Craig Cowden moved</w:t>
      </w:r>
      <w:r w:rsidR="00615B98">
        <w:t xml:space="preserve"> to </w:t>
      </w:r>
      <w:r w:rsidR="007371E0">
        <w:t xml:space="preserve">recommend approval of </w:t>
      </w:r>
      <w:r w:rsidR="00615B98">
        <w:t xml:space="preserve">the Music Specialization, </w:t>
      </w:r>
      <w:r>
        <w:t xml:space="preserve">with a second by Jeff Calkins.  </w:t>
      </w:r>
      <w:r w:rsidR="00C85E50" w:rsidRPr="00C85E50">
        <w:t>John Falskow</w:t>
      </w:r>
      <w:r>
        <w:t xml:space="preserve"> explained</w:t>
      </w:r>
      <w:r w:rsidR="00615B98">
        <w:t xml:space="preserve"> that </w:t>
      </w:r>
      <w:r w:rsidR="00E31832">
        <w:t>this Specialization consists of</w:t>
      </w:r>
      <w:r w:rsidR="00615B98">
        <w:t xml:space="preserve"> 31 credits that fit into the AA </w:t>
      </w:r>
      <w:r w:rsidR="00E31832">
        <w:t xml:space="preserve">Degree.  It includes </w:t>
      </w:r>
      <w:r w:rsidR="00615B98">
        <w:t>core Music Theory</w:t>
      </w:r>
      <w:r w:rsidR="00E31832">
        <w:t>,</w:t>
      </w:r>
      <w:r w:rsidR="00615B98">
        <w:t xml:space="preserve"> some performance</w:t>
      </w:r>
      <w:r w:rsidR="00E31832">
        <w:t xml:space="preserve">, </w:t>
      </w:r>
      <w:r w:rsidR="00B93A16">
        <w:t>and</w:t>
      </w:r>
      <w:r w:rsidR="00E31832">
        <w:t xml:space="preserve"> some</w:t>
      </w:r>
      <w:r w:rsidR="00615B98">
        <w:t xml:space="preserve"> additional classes that </w:t>
      </w:r>
      <w:r w:rsidR="00E31832">
        <w:t>allow</w:t>
      </w:r>
      <w:r w:rsidR="00615B98">
        <w:t xml:space="preserve"> students </w:t>
      </w:r>
      <w:r w:rsidR="00E31832">
        <w:t xml:space="preserve">to tailor </w:t>
      </w:r>
      <w:r w:rsidR="00B93A16">
        <w:t>the degree</w:t>
      </w:r>
      <w:r w:rsidR="00E31832">
        <w:t xml:space="preserve"> to their needs.  </w:t>
      </w:r>
      <w:r w:rsidR="00615B98">
        <w:t xml:space="preserve">It is different from the AM Degree, which is </w:t>
      </w:r>
      <w:r w:rsidR="00E31832">
        <w:t xml:space="preserve">a much more rigorous DTA-MRP Degree with </w:t>
      </w:r>
      <w:r w:rsidR="00615B98">
        <w:t>104 credits</w:t>
      </w:r>
      <w:r w:rsidR="00E31832">
        <w:t xml:space="preserve">.  </w:t>
      </w:r>
      <w:r w:rsidR="00615B98">
        <w:t>Jeff Calkins asked if there was any concern that this Specialization would draw students away from the AM Degree.  John replied that he did not see this as a concern; rather, it provides an option for students who need something more affordable or who are vacillating on how much they want to do</w:t>
      </w:r>
      <w:r w:rsidR="00E31832">
        <w:t xml:space="preserve">, or who just want to minor in music or </w:t>
      </w:r>
      <w:r w:rsidR="00F0356F">
        <w:t>possibly</w:t>
      </w:r>
      <w:r w:rsidR="00615B98">
        <w:t xml:space="preserve"> go right into t</w:t>
      </w:r>
      <w:r w:rsidR="00E31832">
        <w:t>he workforce in the music field, working for a performing arts organization, for example.  The motion carried.</w:t>
      </w:r>
    </w:p>
    <w:p w14:paraId="642DC971" w14:textId="7B4D5DD7" w:rsidR="0061577B" w:rsidRPr="00615B98" w:rsidRDefault="002329F0" w:rsidP="00674A17">
      <w:pPr>
        <w:pStyle w:val="ListParagraph"/>
        <w:numPr>
          <w:ilvl w:val="1"/>
          <w:numId w:val="4"/>
        </w:numPr>
        <w:spacing w:line="240" w:lineRule="auto"/>
        <w:rPr>
          <w:b/>
        </w:rPr>
      </w:pPr>
      <w:r w:rsidRPr="00615B98">
        <w:rPr>
          <w:b/>
        </w:rPr>
        <w:t>Anthropology</w:t>
      </w:r>
      <w:r w:rsidR="00E43D94" w:rsidRPr="00615B98">
        <w:rPr>
          <w:b/>
        </w:rPr>
        <w:t xml:space="preserve"> Specialization</w:t>
      </w:r>
      <w:r w:rsidRPr="00615B98">
        <w:rPr>
          <w:b/>
        </w:rPr>
        <w:t xml:space="preserve"> (AA – Option A)</w:t>
      </w:r>
    </w:p>
    <w:p w14:paraId="5EDC0BB0" w14:textId="307ECE09" w:rsidR="006E69DC" w:rsidRDefault="000D5F55" w:rsidP="00674A17">
      <w:pPr>
        <w:pStyle w:val="ListParagraph"/>
        <w:spacing w:line="240" w:lineRule="auto"/>
        <w:ind w:left="1440"/>
      </w:pPr>
      <w:r>
        <w:t>Craig Cowden move</w:t>
      </w:r>
      <w:r w:rsidR="00E31832">
        <w:t xml:space="preserve">d to </w:t>
      </w:r>
      <w:r w:rsidR="007371E0">
        <w:t>recommend approval of</w:t>
      </w:r>
      <w:r w:rsidR="00E31832">
        <w:t xml:space="preserve"> the Anthropology Specialization, with a </w:t>
      </w:r>
      <w:r>
        <w:t xml:space="preserve">second by Mary Jane Oberhofer.  </w:t>
      </w:r>
      <w:r w:rsidR="006E69DC">
        <w:t xml:space="preserve">Elizabeth </w:t>
      </w:r>
      <w:proofErr w:type="spellStart"/>
      <w:r w:rsidR="006E69DC">
        <w:t>Fortenbery</w:t>
      </w:r>
      <w:proofErr w:type="spellEnd"/>
      <w:r>
        <w:t xml:space="preserve"> </w:t>
      </w:r>
      <w:r>
        <w:lastRenderedPageBreak/>
        <w:t>explained</w:t>
      </w:r>
      <w:r w:rsidR="00AD04B7">
        <w:t xml:space="preserve"> that there are fo</w:t>
      </w:r>
      <w:r w:rsidR="00B93A16">
        <w:t>u</w:t>
      </w:r>
      <w:r w:rsidR="00AD04B7">
        <w:t>r main</w:t>
      </w:r>
      <w:r w:rsidR="00E31832">
        <w:t xml:space="preserve"> fields </w:t>
      </w:r>
      <w:r w:rsidR="00AD04B7">
        <w:t>in</w:t>
      </w:r>
      <w:r w:rsidR="00E31832">
        <w:t xml:space="preserve"> anthropology, </w:t>
      </w:r>
      <w:r w:rsidR="00AD04B7">
        <w:t>each of which is represented by one of the four core courses</w:t>
      </w:r>
      <w:r w:rsidR="00E31832">
        <w:t xml:space="preserve"> identified for students.  </w:t>
      </w:r>
      <w:r w:rsidR="00AD04B7">
        <w:t>TCC</w:t>
      </w:r>
      <w:r w:rsidR="00E31832">
        <w:t xml:space="preserve"> require</w:t>
      </w:r>
      <w:r w:rsidR="00AD04B7">
        <w:t>s</w:t>
      </w:r>
      <w:r w:rsidR="00E31832">
        <w:t xml:space="preserve"> only </w:t>
      </w:r>
      <w:r w:rsidR="00AD04B7">
        <w:t>three of them</w:t>
      </w:r>
      <w:r w:rsidR="00E31832">
        <w:t xml:space="preserve"> as part of the specialization</w:t>
      </w:r>
      <w:r w:rsidR="00AD04B7">
        <w:t xml:space="preserve"> because the </w:t>
      </w:r>
      <w:r w:rsidR="00F0356F">
        <w:t>various</w:t>
      </w:r>
      <w:r w:rsidR="00AD04B7">
        <w:t xml:space="preserve"> transfer institutions differ in which three they consider the most important.  This Specialization includes the three core and one elective</w:t>
      </w:r>
      <w:r w:rsidR="007371E0">
        <w:t xml:space="preserve">, along with </w:t>
      </w:r>
      <w:r w:rsidR="00AD04B7">
        <w:t xml:space="preserve">a Math class because Statistics </w:t>
      </w:r>
      <w:r w:rsidR="007371E0">
        <w:t>is required by many four-year schools</w:t>
      </w:r>
      <w:r w:rsidR="00AD04B7">
        <w:t xml:space="preserve">.  Phil Hunter </w:t>
      </w:r>
      <w:r w:rsidR="007371E0">
        <w:t>mentioned that</w:t>
      </w:r>
      <w:r w:rsidR="00AD04B7">
        <w:t xml:space="preserve"> there are some universities where </w:t>
      </w:r>
      <w:r w:rsidR="007371E0">
        <w:t>students who take a</w:t>
      </w:r>
      <w:r w:rsidR="00AD04B7">
        <w:t xml:space="preserve"> </w:t>
      </w:r>
      <w:r w:rsidR="007371E0">
        <w:t>s</w:t>
      </w:r>
      <w:r w:rsidR="00AD04B7">
        <w:t xml:space="preserve">urvey course in </w:t>
      </w:r>
      <w:r w:rsidR="007371E0">
        <w:t>their major</w:t>
      </w:r>
      <w:r w:rsidR="00AD04B7">
        <w:t xml:space="preserve"> </w:t>
      </w:r>
      <w:r w:rsidR="007371E0">
        <w:t xml:space="preserve">are not allowed to </w:t>
      </w:r>
      <w:r w:rsidR="00AD04B7">
        <w:t xml:space="preserve">count it toward </w:t>
      </w:r>
      <w:r w:rsidR="007371E0">
        <w:t>their</w:t>
      </w:r>
      <w:r w:rsidR="00AD04B7">
        <w:t xml:space="preserve"> degree</w:t>
      </w:r>
      <w:r w:rsidR="007371E0">
        <w:t xml:space="preserve"> and asked Elizabeth if she had encountered that.</w:t>
      </w:r>
      <w:r w:rsidR="00AD04B7">
        <w:t xml:space="preserve">  Elizabeth replied that she </w:t>
      </w:r>
      <w:r w:rsidR="007371E0">
        <w:t>had</w:t>
      </w:r>
      <w:r w:rsidR="00AD04B7">
        <w:t xml:space="preserve"> not</w:t>
      </w:r>
      <w:r w:rsidR="007371E0">
        <w:t>; rather, students are usually allowed to apply one 100-level ANTHRO course toward their major as one of the electives</w:t>
      </w:r>
      <w:r w:rsidR="00AD04B7">
        <w:t xml:space="preserve">.  </w:t>
      </w:r>
      <w:r w:rsidR="007655B1">
        <w:t>The motion carried.</w:t>
      </w:r>
    </w:p>
    <w:p w14:paraId="5506876E" w14:textId="77777777" w:rsidR="000D5F55" w:rsidRPr="007371E0" w:rsidRDefault="000D5F55" w:rsidP="00674A17">
      <w:pPr>
        <w:spacing w:line="240" w:lineRule="auto"/>
        <w:rPr>
          <w:sz w:val="16"/>
          <w:szCs w:val="16"/>
        </w:rPr>
      </w:pPr>
    </w:p>
    <w:p w14:paraId="1CD98099" w14:textId="4D874091" w:rsidR="002329F0" w:rsidRPr="003F1A01" w:rsidRDefault="005B597F" w:rsidP="00674A17">
      <w:pPr>
        <w:pStyle w:val="ListParagraph"/>
        <w:numPr>
          <w:ilvl w:val="1"/>
          <w:numId w:val="4"/>
        </w:numPr>
        <w:spacing w:line="240" w:lineRule="auto"/>
        <w:rPr>
          <w:b/>
        </w:rPr>
      </w:pPr>
      <w:r w:rsidRPr="003F1A01">
        <w:rPr>
          <w:b/>
        </w:rPr>
        <w:t>Sociology</w:t>
      </w:r>
      <w:r w:rsidR="00E43D94" w:rsidRPr="003F1A01">
        <w:rPr>
          <w:b/>
        </w:rPr>
        <w:t xml:space="preserve"> Specialization</w:t>
      </w:r>
      <w:r w:rsidRPr="003F1A01">
        <w:rPr>
          <w:b/>
        </w:rPr>
        <w:t xml:space="preserve"> (AA – Option A)</w:t>
      </w:r>
    </w:p>
    <w:p w14:paraId="58C4E945" w14:textId="75EC4156" w:rsidR="00A254CA" w:rsidRDefault="004F73D3" w:rsidP="00674A17">
      <w:pPr>
        <w:pStyle w:val="ListParagraph"/>
        <w:spacing w:line="240" w:lineRule="auto"/>
        <w:ind w:left="1440"/>
      </w:pPr>
      <w:r>
        <w:t>Jeff Calkins moved</w:t>
      </w:r>
      <w:r w:rsidR="007371E0">
        <w:t xml:space="preserve"> to recommend approval of the Sociology Specialization, with a </w:t>
      </w:r>
      <w:r>
        <w:t xml:space="preserve">second by Tracey </w:t>
      </w:r>
      <w:proofErr w:type="spellStart"/>
      <w:r>
        <w:t>Ushman</w:t>
      </w:r>
      <w:proofErr w:type="spellEnd"/>
      <w:r>
        <w:t xml:space="preserve">.  </w:t>
      </w:r>
      <w:r w:rsidR="00A254CA" w:rsidRPr="003F1A01">
        <w:t>Andrew Cho</w:t>
      </w:r>
      <w:r>
        <w:t xml:space="preserve"> explained</w:t>
      </w:r>
      <w:r w:rsidR="007371E0">
        <w:t xml:space="preserve"> that </w:t>
      </w:r>
      <w:r w:rsidR="001B617A">
        <w:t>this Specialization includes</w:t>
      </w:r>
      <w:r w:rsidR="007371E0">
        <w:t xml:space="preserve"> SOC 101, which is the </w:t>
      </w:r>
      <w:r w:rsidR="009D09E7">
        <w:t>I</w:t>
      </w:r>
      <w:r w:rsidR="007371E0">
        <w:t>ntroduc</w:t>
      </w:r>
      <w:r w:rsidR="001B617A">
        <w:t xml:space="preserve">tion to </w:t>
      </w:r>
      <w:r w:rsidR="009D09E7">
        <w:t>S</w:t>
      </w:r>
      <w:r w:rsidR="001B617A">
        <w:t>ociology that</w:t>
      </w:r>
      <w:r w:rsidR="007371E0">
        <w:t xml:space="preserve"> all of the tran</w:t>
      </w:r>
      <w:r w:rsidR="001B617A">
        <w:t>sfer institutions accept,</w:t>
      </w:r>
      <w:r w:rsidR="007371E0">
        <w:t xml:space="preserve"> three different foundation courses that students have the option </w:t>
      </w:r>
      <w:r w:rsidR="00006249">
        <w:t>of choosing</w:t>
      </w:r>
      <w:r w:rsidR="001B617A">
        <w:t xml:space="preserve">, and a Statistics class.  </w:t>
      </w:r>
      <w:r w:rsidR="00A254CA" w:rsidRPr="003F1A01">
        <w:t>Judy Loveless-Morris</w:t>
      </w:r>
      <w:r>
        <w:t xml:space="preserve"> added</w:t>
      </w:r>
      <w:r w:rsidR="001B617A">
        <w:t xml:space="preserve"> that UWT added a Sociology minor this year, which ha</w:t>
      </w:r>
      <w:r w:rsidR="009D09E7">
        <w:t>s been so successful that there i</w:t>
      </w:r>
      <w:r w:rsidR="001B617A">
        <w:t xml:space="preserve">s a likelihood that it will turn into a Sociology major shortly, so UWT faculty are excited about the </w:t>
      </w:r>
      <w:r w:rsidR="00F17FB2">
        <w:t>this new Specialization at TCC</w:t>
      </w:r>
      <w:r w:rsidR="001B617A">
        <w:t xml:space="preserve">.  </w:t>
      </w:r>
      <w:r w:rsidR="00F17FB2">
        <w:t>The motion carried.</w:t>
      </w:r>
    </w:p>
    <w:p w14:paraId="75475856" w14:textId="77777777" w:rsidR="00B93A16" w:rsidRDefault="00B93A16" w:rsidP="00674A17">
      <w:pPr>
        <w:pStyle w:val="ListParagraph"/>
        <w:spacing w:line="240" w:lineRule="auto"/>
        <w:ind w:left="1440"/>
      </w:pPr>
    </w:p>
    <w:p w14:paraId="3201E691" w14:textId="0137BFE8" w:rsidR="00A254CA" w:rsidRPr="003F1A01" w:rsidRDefault="00A254CA" w:rsidP="00674A17">
      <w:pPr>
        <w:pStyle w:val="ListParagraph"/>
        <w:numPr>
          <w:ilvl w:val="1"/>
          <w:numId w:val="4"/>
        </w:numPr>
        <w:spacing w:line="240" w:lineRule="auto"/>
        <w:rPr>
          <w:b/>
        </w:rPr>
      </w:pPr>
      <w:r w:rsidRPr="003F1A01">
        <w:rPr>
          <w:b/>
        </w:rPr>
        <w:t>Political Science Specialization (AA – Option A)</w:t>
      </w:r>
    </w:p>
    <w:p w14:paraId="169597F9" w14:textId="00FC5622" w:rsidR="00A254CA" w:rsidRDefault="000D5F55" w:rsidP="00674A17">
      <w:pPr>
        <w:pStyle w:val="ListParagraph"/>
        <w:spacing w:line="240" w:lineRule="auto"/>
        <w:ind w:left="1440"/>
      </w:pPr>
      <w:r>
        <w:t xml:space="preserve">Tracey </w:t>
      </w:r>
      <w:proofErr w:type="spellStart"/>
      <w:r>
        <w:t>Ushman</w:t>
      </w:r>
      <w:proofErr w:type="spellEnd"/>
      <w:r>
        <w:t xml:space="preserve"> moved</w:t>
      </w:r>
      <w:r w:rsidR="00F17FB2">
        <w:t xml:space="preserve"> to recommend approval of the Political Science Specialization, with a </w:t>
      </w:r>
      <w:r>
        <w:t xml:space="preserve">second by Jeff Calkins.  </w:t>
      </w:r>
      <w:r w:rsidR="00A254CA">
        <w:t>Katrina Taylor</w:t>
      </w:r>
      <w:r>
        <w:t xml:space="preserve"> explained</w:t>
      </w:r>
      <w:r w:rsidR="00F17FB2">
        <w:t xml:space="preserve"> that </w:t>
      </w:r>
      <w:r w:rsidR="00A64C5D">
        <w:t>there is</w:t>
      </w:r>
      <w:r w:rsidR="00F17FB2">
        <w:t xml:space="preserve"> a lot of diversity </w:t>
      </w:r>
      <w:r w:rsidR="00B93A16">
        <w:t>among</w:t>
      </w:r>
      <w:r w:rsidR="008D2936">
        <w:t xml:space="preserve"> transfer institutions </w:t>
      </w:r>
      <w:r w:rsidR="00A64C5D">
        <w:t>in terms of what counts toward Political Science degrees.  At TCC, students have</w:t>
      </w:r>
      <w:r w:rsidR="00F17FB2">
        <w:t xml:space="preserve"> </w:t>
      </w:r>
      <w:r w:rsidR="00A64C5D">
        <w:t>some</w:t>
      </w:r>
      <w:r w:rsidR="00F17FB2">
        <w:t xml:space="preserve"> flexibility in choosing </w:t>
      </w:r>
      <w:r w:rsidR="00A64C5D">
        <w:t>among</w:t>
      </w:r>
      <w:r w:rsidR="00F17FB2">
        <w:t xml:space="preserve"> the cor</w:t>
      </w:r>
      <w:r w:rsidR="00E97594">
        <w:t>e courses, and</w:t>
      </w:r>
      <w:r w:rsidR="00F17FB2">
        <w:t xml:space="preserve"> </w:t>
      </w:r>
      <w:r w:rsidR="00A64C5D">
        <w:t>there is</w:t>
      </w:r>
      <w:r w:rsidR="00F17FB2">
        <w:t xml:space="preserve"> a</w:t>
      </w:r>
      <w:r w:rsidR="00A64C5D">
        <w:t xml:space="preserve"> </w:t>
      </w:r>
      <w:r w:rsidR="00E97594">
        <w:t xml:space="preserve">more in-depth </w:t>
      </w:r>
      <w:r w:rsidR="00F17FB2">
        <w:t xml:space="preserve">Specialization elective </w:t>
      </w:r>
      <w:r w:rsidR="00E97594">
        <w:t>that</w:t>
      </w:r>
      <w:r w:rsidR="00F17FB2">
        <w:t xml:space="preserve"> gives insight into how Political Science can be applied to the important issues.  The Math requirement encourage</w:t>
      </w:r>
      <w:r w:rsidR="00A64C5D">
        <w:t>s</w:t>
      </w:r>
      <w:r w:rsidR="00F17FB2">
        <w:t xml:space="preserve"> Statistics but also acknowledge</w:t>
      </w:r>
      <w:r w:rsidR="00A64C5D">
        <w:t>s</w:t>
      </w:r>
      <w:r w:rsidR="00F17FB2">
        <w:t xml:space="preserve"> that </w:t>
      </w:r>
      <w:r w:rsidR="00B93A16">
        <w:t>students</w:t>
      </w:r>
      <w:r w:rsidR="00F17FB2">
        <w:t xml:space="preserve"> going to UW-Seattle may need other Math to meet the requirements</w:t>
      </w:r>
      <w:r w:rsidR="0071182B">
        <w:t xml:space="preserve"> there</w:t>
      </w:r>
      <w:r w:rsidR="00A64C5D">
        <w:t xml:space="preserve">. </w:t>
      </w:r>
      <w:r w:rsidR="00F17FB2">
        <w:t xml:space="preserve">Tod Treat </w:t>
      </w:r>
      <w:r w:rsidR="00A64C5D">
        <w:t>commented</w:t>
      </w:r>
      <w:r w:rsidR="00E97594">
        <w:t xml:space="preserve"> that</w:t>
      </w:r>
      <w:r w:rsidR="00F17FB2">
        <w:t xml:space="preserve"> </w:t>
      </w:r>
      <w:r w:rsidR="00A64C5D">
        <w:t xml:space="preserve">we should </w:t>
      </w:r>
      <w:r w:rsidR="00E97594">
        <w:t xml:space="preserve">try to </w:t>
      </w:r>
      <w:r w:rsidR="00A64C5D">
        <w:t>keep the Pathways</w:t>
      </w:r>
      <w:r w:rsidR="00F17FB2">
        <w:t xml:space="preserve"> as open as possible</w:t>
      </w:r>
      <w:r w:rsidR="00A64C5D">
        <w:t xml:space="preserve">, </w:t>
      </w:r>
      <w:r w:rsidR="00E97594">
        <w:t xml:space="preserve">and not restrict them </w:t>
      </w:r>
      <w:r w:rsidR="00832498">
        <w:t>because of UW-Seattle</w:t>
      </w:r>
      <w:r w:rsidR="00E97594">
        <w:t>;</w:t>
      </w:r>
      <w:r w:rsidR="00A64C5D">
        <w:t xml:space="preserve"> i</w:t>
      </w:r>
      <w:r w:rsidR="009D09E7">
        <w:t>f</w:t>
      </w:r>
      <w:r w:rsidR="00A64C5D">
        <w:t xml:space="preserve"> other public universities</w:t>
      </w:r>
      <w:r w:rsidR="00F17FB2">
        <w:t xml:space="preserve"> are OK with it</w:t>
      </w:r>
      <w:r w:rsidR="00832498">
        <w:t>, we should probably be OK with it</w:t>
      </w:r>
      <w:r w:rsidR="00E97594">
        <w:t xml:space="preserve"> as well, because</w:t>
      </w:r>
      <w:r w:rsidR="00832498">
        <w:t xml:space="preserve"> a lot of students would be well served by other options</w:t>
      </w:r>
      <w:r w:rsidR="00A64C5D">
        <w:t xml:space="preserve">.  </w:t>
      </w:r>
      <w:r w:rsidR="00E97594">
        <w:t>We could just add an</w:t>
      </w:r>
      <w:r w:rsidR="00832498">
        <w:t xml:space="preserve"> asterisk </w:t>
      </w:r>
      <w:r w:rsidR="00E97594">
        <w:t xml:space="preserve">on the advising sheet to notify students that </w:t>
      </w:r>
      <w:r w:rsidR="009D09E7">
        <w:t xml:space="preserve">there might be another requirement </w:t>
      </w:r>
      <w:r w:rsidR="00832498">
        <w:t xml:space="preserve">if </w:t>
      </w:r>
      <w:r w:rsidR="00E97594">
        <w:t>they plan to transfer to UW-</w:t>
      </w:r>
      <w:r w:rsidR="00832498">
        <w:t>Seattle</w:t>
      </w:r>
      <w:r w:rsidR="00E97594">
        <w:t>. Phil Hunter noted that</w:t>
      </w:r>
      <w:r w:rsidR="00832498">
        <w:t xml:space="preserve"> the reason this </w:t>
      </w:r>
      <w:r w:rsidR="00E97594">
        <w:t>was</w:t>
      </w:r>
      <w:r w:rsidR="00832498">
        <w:t xml:space="preserve"> being brought up is that </w:t>
      </w:r>
      <w:r w:rsidR="00E97594">
        <w:t xml:space="preserve">two pre-calculus classes are required </w:t>
      </w:r>
      <w:r w:rsidR="00832498">
        <w:t>in order to get to Math 151, and a student</w:t>
      </w:r>
      <w:r w:rsidR="00E97594">
        <w:t xml:space="preserve"> who completed the pre-calculus but stopped at</w:t>
      </w:r>
      <w:r w:rsidR="00832498">
        <w:t xml:space="preserve"> the Math 151</w:t>
      </w:r>
      <w:r w:rsidR="00E97594">
        <w:t xml:space="preserve"> would likely end up </w:t>
      </w:r>
      <w:r w:rsidR="0071182B">
        <w:t>having to request a waiver to get this S</w:t>
      </w:r>
      <w:r w:rsidR="00E97594">
        <w:t>pecialization.  He suggested that</w:t>
      </w:r>
      <w:r w:rsidR="00832498">
        <w:t xml:space="preserve"> rather than</w:t>
      </w:r>
      <w:r w:rsidR="00E97594">
        <w:t xml:space="preserve"> doing it on a waiver basis, </w:t>
      </w:r>
      <w:r w:rsidR="00832498">
        <w:t xml:space="preserve">we </w:t>
      </w:r>
      <w:r w:rsidR="00E97594">
        <w:t xml:space="preserve">could </w:t>
      </w:r>
      <w:r w:rsidR="00832498">
        <w:t>just open it up right up front.  Katrina replied that she didn’t have an issue with that</w:t>
      </w:r>
      <w:r w:rsidR="00FB699E">
        <w:t xml:space="preserve">, but the </w:t>
      </w:r>
      <w:r w:rsidR="00E97594">
        <w:t>problem</w:t>
      </w:r>
      <w:r w:rsidR="00FB699E">
        <w:t xml:space="preserve"> is </w:t>
      </w:r>
      <w:r w:rsidR="00E97594">
        <w:t xml:space="preserve">that </w:t>
      </w:r>
      <w:r w:rsidR="0071182B">
        <w:t xml:space="preserve">if </w:t>
      </w:r>
      <w:r w:rsidR="008D2936">
        <w:t xml:space="preserve">students who are </w:t>
      </w:r>
      <w:r w:rsidR="00B93A16">
        <w:t>not going to UW-Seattle</w:t>
      </w:r>
      <w:r w:rsidR="00FB699E">
        <w:t xml:space="preserve"> take pre-calculus</w:t>
      </w:r>
      <w:r w:rsidR="00B93A16">
        <w:t>, they will probably</w:t>
      </w:r>
      <w:r w:rsidR="00FB699E">
        <w:t xml:space="preserve"> </w:t>
      </w:r>
      <w:r w:rsidR="00E97594">
        <w:t>end up having</w:t>
      </w:r>
      <w:r w:rsidR="00FB699E">
        <w:t xml:space="preserve"> to take </w:t>
      </w:r>
      <w:r w:rsidR="00E97594">
        <w:t xml:space="preserve">an additional </w:t>
      </w:r>
      <w:r w:rsidR="00FB699E">
        <w:lastRenderedPageBreak/>
        <w:t xml:space="preserve">Statistics </w:t>
      </w:r>
      <w:r w:rsidR="00E97594">
        <w:t>class</w:t>
      </w:r>
      <w:r w:rsidR="008D2936">
        <w:t xml:space="preserve">.  </w:t>
      </w:r>
      <w:r w:rsidR="00FB699E">
        <w:t>Phil</w:t>
      </w:r>
      <w:r w:rsidR="00E97594">
        <w:t xml:space="preserve"> Hunter suggested that t</w:t>
      </w:r>
      <w:r w:rsidR="008D2936">
        <w:t>his</w:t>
      </w:r>
      <w:r w:rsidR="00E97594">
        <w:t xml:space="preserve"> Specialization could be brought back for amendment later</w:t>
      </w:r>
      <w:r w:rsidR="00B93A16">
        <w:t xml:space="preserve"> to clarify this</w:t>
      </w:r>
      <w:r w:rsidR="00E97594">
        <w:t xml:space="preserve">, and Tod Treat agreed, </w:t>
      </w:r>
      <w:r w:rsidR="008D2936">
        <w:t>emphasizing that</w:t>
      </w:r>
      <w:r w:rsidR="00FB699E">
        <w:t xml:space="preserve"> </w:t>
      </w:r>
      <w:r w:rsidR="008D2936">
        <w:t>the</w:t>
      </w:r>
      <w:r w:rsidR="00FB699E">
        <w:t xml:space="preserve"> Curriculum Committee should </w:t>
      </w:r>
      <w:r w:rsidR="008D2936">
        <w:t>be mindful of</w:t>
      </w:r>
      <w:r w:rsidR="00FB699E">
        <w:t xml:space="preserve"> these kinds of issues</w:t>
      </w:r>
      <w:r w:rsidR="008D2936">
        <w:t xml:space="preserve"> because we want </w:t>
      </w:r>
      <w:r w:rsidR="00FB699E">
        <w:t>the pathway</w:t>
      </w:r>
      <w:r w:rsidR="008D2936">
        <w:t>s</w:t>
      </w:r>
      <w:r w:rsidR="00FB699E">
        <w:t xml:space="preserve"> </w:t>
      </w:r>
      <w:r w:rsidR="008D2936">
        <w:t>to be</w:t>
      </w:r>
      <w:r w:rsidR="00FB699E">
        <w:t xml:space="preserve"> as open as possible for as many students as possible so that as many complete as possible, knowing that some will choose Central, some will choose UW-Seattle, and some will choose a private institution.  </w:t>
      </w:r>
      <w:r w:rsidR="008D2936">
        <w:t>The motion carried.</w:t>
      </w:r>
    </w:p>
    <w:p w14:paraId="15B07F50" w14:textId="77777777" w:rsidR="000D5F55" w:rsidRPr="008D2936" w:rsidRDefault="000D5F55" w:rsidP="00674A17">
      <w:pPr>
        <w:pStyle w:val="ListParagraph"/>
        <w:spacing w:line="240" w:lineRule="auto"/>
        <w:ind w:left="1440"/>
        <w:rPr>
          <w:sz w:val="16"/>
          <w:szCs w:val="16"/>
        </w:rPr>
      </w:pPr>
    </w:p>
    <w:p w14:paraId="59C92453" w14:textId="65D06204" w:rsidR="006552C5" w:rsidRPr="003F1A01" w:rsidRDefault="006552C5" w:rsidP="00674A17">
      <w:pPr>
        <w:pStyle w:val="ListParagraph"/>
        <w:numPr>
          <w:ilvl w:val="1"/>
          <w:numId w:val="4"/>
        </w:numPr>
        <w:spacing w:line="240" w:lineRule="auto"/>
        <w:rPr>
          <w:b/>
        </w:rPr>
      </w:pPr>
      <w:r w:rsidRPr="003F1A01">
        <w:rPr>
          <w:b/>
        </w:rPr>
        <w:t>History Specialization (AA – Option A)</w:t>
      </w:r>
    </w:p>
    <w:p w14:paraId="731883F6" w14:textId="02636A91" w:rsidR="00196AC8" w:rsidRDefault="003F1A01" w:rsidP="00E65094">
      <w:pPr>
        <w:pStyle w:val="ListParagraph"/>
        <w:spacing w:line="240" w:lineRule="auto"/>
        <w:ind w:left="1440"/>
      </w:pPr>
      <w:r>
        <w:t xml:space="preserve">Heather </w:t>
      </w:r>
      <w:proofErr w:type="spellStart"/>
      <w:r>
        <w:t>Gillanders</w:t>
      </w:r>
      <w:proofErr w:type="spellEnd"/>
      <w:r>
        <w:t xml:space="preserve"> moved</w:t>
      </w:r>
      <w:r w:rsidR="008D2936">
        <w:t xml:space="preserve"> to recommend approval of the History Specialization</w:t>
      </w:r>
      <w:r w:rsidR="00196AC8">
        <w:t xml:space="preserve"> (with the removal of “MRP” from the </w:t>
      </w:r>
      <w:r w:rsidR="0071182B">
        <w:t>P</w:t>
      </w:r>
      <w:r w:rsidR="00196AC8">
        <w:t>roposal</w:t>
      </w:r>
      <w:r w:rsidR="002E7CEB">
        <w:t>)</w:t>
      </w:r>
      <w:r w:rsidR="008D2936">
        <w:t xml:space="preserve">, with a </w:t>
      </w:r>
      <w:r>
        <w:t xml:space="preserve">second by Jeff Calkins.  Bernard </w:t>
      </w:r>
      <w:proofErr w:type="spellStart"/>
      <w:r>
        <w:t>Comeau</w:t>
      </w:r>
      <w:proofErr w:type="spellEnd"/>
      <w:r>
        <w:t xml:space="preserve"> explained</w:t>
      </w:r>
      <w:r w:rsidR="008D2936">
        <w:t xml:space="preserve"> </w:t>
      </w:r>
      <w:r w:rsidR="00196AC8">
        <w:t xml:space="preserve">that </w:t>
      </w:r>
      <w:r w:rsidR="002E7CEB">
        <w:t>in</w:t>
      </w:r>
      <w:r w:rsidR="00196AC8">
        <w:t xml:space="preserve"> History</w:t>
      </w:r>
      <w:r w:rsidR="002E7CEB">
        <w:t xml:space="preserve"> </w:t>
      </w:r>
      <w:r w:rsidR="00196AC8">
        <w:t>a number</w:t>
      </w:r>
      <w:r w:rsidR="002E7CEB">
        <w:t xml:space="preserve"> of subfields</w:t>
      </w:r>
      <w:r w:rsidR="00196AC8">
        <w:t xml:space="preserve"> are recognized, depending on the institution</w:t>
      </w:r>
      <w:r w:rsidR="002E7CEB">
        <w:t>.  However, unlike most other</w:t>
      </w:r>
      <w:r w:rsidR="00196AC8">
        <w:t xml:space="preserve"> Social Sciences</w:t>
      </w:r>
      <w:r w:rsidR="002E7CEB">
        <w:t>, there is</w:t>
      </w:r>
      <w:r w:rsidR="00196AC8">
        <w:t xml:space="preserve"> no Intro course, </w:t>
      </w:r>
      <w:r w:rsidR="002E7CEB">
        <w:t>though</w:t>
      </w:r>
      <w:r w:rsidR="00707E0E">
        <w:t xml:space="preserve"> every 4-year institution </w:t>
      </w:r>
      <w:r w:rsidR="002E7CEB">
        <w:t xml:space="preserve">does recognize U.S. History, European History, and </w:t>
      </w:r>
      <w:r w:rsidR="00707E0E">
        <w:t xml:space="preserve">either </w:t>
      </w:r>
      <w:r w:rsidR="00B93A16">
        <w:t>N</w:t>
      </w:r>
      <w:r w:rsidR="002E7CEB">
        <w:t>on-Western History (</w:t>
      </w:r>
      <w:r w:rsidR="00707E0E">
        <w:t>which in some schools gets broken down into Latin American History or African and Middle East History</w:t>
      </w:r>
      <w:r w:rsidR="002E7CEB">
        <w:t>)</w:t>
      </w:r>
      <w:r w:rsidR="00707E0E">
        <w:t xml:space="preserve"> or East Asia</w:t>
      </w:r>
      <w:r w:rsidR="002E7CEB">
        <w:t>n</w:t>
      </w:r>
      <w:r w:rsidR="00707E0E">
        <w:t xml:space="preserve"> History</w:t>
      </w:r>
      <w:r w:rsidR="002E7CEB">
        <w:t>.  A</w:t>
      </w:r>
      <w:r w:rsidR="00707E0E">
        <w:t>ll</w:t>
      </w:r>
      <w:r w:rsidR="002E7CEB">
        <w:t xml:space="preserve"> of the schools also </w:t>
      </w:r>
      <w:r w:rsidR="00707E0E">
        <w:t>require students to take a certain number of courses in a certain number of subfield</w:t>
      </w:r>
      <w:r w:rsidR="002E7CEB">
        <w:t xml:space="preserve">s (usually two or three).  Given </w:t>
      </w:r>
      <w:r w:rsidR="00B93A16">
        <w:t>that,</w:t>
      </w:r>
      <w:r w:rsidR="00F81022">
        <w:t xml:space="preserve"> the best preparation for students to </w:t>
      </w:r>
      <w:r w:rsidR="002E7CEB">
        <w:t xml:space="preserve">transfer </w:t>
      </w:r>
      <w:r w:rsidR="00F81022">
        <w:t xml:space="preserve">as </w:t>
      </w:r>
      <w:proofErr w:type="gramStart"/>
      <w:r w:rsidR="00F81022">
        <w:t>Juniors</w:t>
      </w:r>
      <w:proofErr w:type="gramEnd"/>
      <w:r w:rsidR="00F81022">
        <w:t xml:space="preserve"> </w:t>
      </w:r>
      <w:r w:rsidR="00B93A16">
        <w:t xml:space="preserve">is to take </w:t>
      </w:r>
      <w:r w:rsidR="009D09E7">
        <w:t>TCC’s</w:t>
      </w:r>
      <w:r w:rsidR="00B93A16">
        <w:t xml:space="preserve"> full sequence of</w:t>
      </w:r>
      <w:r w:rsidR="002E7CEB">
        <w:t xml:space="preserve"> </w:t>
      </w:r>
      <w:r w:rsidR="00F81022">
        <w:t>U.S.</w:t>
      </w:r>
      <w:r w:rsidR="002E7CEB">
        <w:t xml:space="preserve"> History </w:t>
      </w:r>
      <w:r w:rsidR="00F81022">
        <w:t>and World Civ</w:t>
      </w:r>
      <w:r w:rsidR="002E7CEB">
        <w:t>ilization</w:t>
      </w:r>
      <w:r w:rsidR="00F81022">
        <w:t xml:space="preserve"> courses</w:t>
      </w:r>
      <w:r w:rsidR="00B93A16">
        <w:t>, which</w:t>
      </w:r>
      <w:r w:rsidR="002E7CEB">
        <w:t xml:space="preserve"> are</w:t>
      </w:r>
      <w:r w:rsidR="00F81022">
        <w:t xml:space="preserve"> </w:t>
      </w:r>
      <w:r w:rsidR="00B93A16">
        <w:t xml:space="preserve">all </w:t>
      </w:r>
      <w:r w:rsidR="00F81022">
        <w:t xml:space="preserve">100-level </w:t>
      </w:r>
      <w:r w:rsidR="002E7CEB">
        <w:t>Common Course Numbered courses</w:t>
      </w:r>
      <w:r w:rsidR="00E65094">
        <w:t>.  The motion carried.</w:t>
      </w:r>
    </w:p>
    <w:p w14:paraId="3AFBF120" w14:textId="77777777" w:rsidR="00E65094" w:rsidRPr="00E65094" w:rsidRDefault="00E65094" w:rsidP="00E65094">
      <w:pPr>
        <w:pStyle w:val="ListParagraph"/>
        <w:spacing w:line="240" w:lineRule="auto"/>
        <w:ind w:left="1440"/>
      </w:pPr>
    </w:p>
    <w:p w14:paraId="44B0672C" w14:textId="0AA91904" w:rsidR="006552C5" w:rsidRPr="003F1A01" w:rsidRDefault="006552C5" w:rsidP="00674A17">
      <w:pPr>
        <w:pStyle w:val="ListParagraph"/>
        <w:numPr>
          <w:ilvl w:val="1"/>
          <w:numId w:val="4"/>
        </w:numPr>
        <w:spacing w:line="240" w:lineRule="auto"/>
        <w:rPr>
          <w:b/>
        </w:rPr>
      </w:pPr>
      <w:r w:rsidRPr="003F1A01">
        <w:rPr>
          <w:b/>
        </w:rPr>
        <w:t>Literature Specialization (AA – Option A)</w:t>
      </w:r>
    </w:p>
    <w:p w14:paraId="1A38318D" w14:textId="64770676" w:rsidR="006552C5" w:rsidRDefault="003F1A01" w:rsidP="00674A17">
      <w:pPr>
        <w:pStyle w:val="ListParagraph"/>
        <w:spacing w:line="240" w:lineRule="auto"/>
        <w:ind w:left="1440"/>
      </w:pPr>
      <w:r>
        <w:t xml:space="preserve">Tracey </w:t>
      </w:r>
      <w:proofErr w:type="spellStart"/>
      <w:r>
        <w:t>Ushman</w:t>
      </w:r>
      <w:proofErr w:type="spellEnd"/>
      <w:r>
        <w:t xml:space="preserve"> moved</w:t>
      </w:r>
      <w:r w:rsidR="0030349B">
        <w:t xml:space="preserve"> to recommend approval of the Literature Specialization (</w:t>
      </w:r>
      <w:r w:rsidR="002402B9">
        <w:t xml:space="preserve">with the removal of “MRP” from the </w:t>
      </w:r>
      <w:r w:rsidR="0071182B">
        <w:t>P</w:t>
      </w:r>
      <w:r w:rsidR="002402B9">
        <w:t>roposal)</w:t>
      </w:r>
      <w:r w:rsidR="0030349B">
        <w:t xml:space="preserve">, with a </w:t>
      </w:r>
      <w:r>
        <w:t xml:space="preserve">second by Jeff Calkins.  </w:t>
      </w:r>
      <w:r w:rsidR="006552C5">
        <w:t>Allen Braden</w:t>
      </w:r>
      <w:r>
        <w:t xml:space="preserve"> explained</w:t>
      </w:r>
      <w:r w:rsidR="0030349B">
        <w:t xml:space="preserve"> that this is a 25-credit specialization.  Four out of the six classes are the broadest surveys that </w:t>
      </w:r>
      <w:r w:rsidR="0071182B">
        <w:t>TCC</w:t>
      </w:r>
      <w:r w:rsidR="0030349B">
        <w:t xml:space="preserve"> offer</w:t>
      </w:r>
      <w:r w:rsidR="0071182B">
        <w:t>s</w:t>
      </w:r>
      <w:r w:rsidR="00B93A16">
        <w:t xml:space="preserve"> (</w:t>
      </w:r>
      <w:r w:rsidR="0030349B">
        <w:t>they are all Common Course Numbered courses</w:t>
      </w:r>
      <w:r w:rsidR="00B93A16">
        <w:t>)</w:t>
      </w:r>
      <w:r w:rsidR="0030349B">
        <w:t xml:space="preserve">, </w:t>
      </w:r>
      <w:r w:rsidR="00B93A16">
        <w:t>and then there are five</w:t>
      </w:r>
      <w:r w:rsidR="0030349B">
        <w:t xml:space="preserve"> credits left over for offerings that are narrower in focus.  Jeff Calkins asked if these </w:t>
      </w:r>
      <w:r w:rsidR="00B93A16">
        <w:t>classes are offered sequentially</w:t>
      </w:r>
      <w:r w:rsidR="0030349B">
        <w:t xml:space="preserve"> Fall-Winter-Spring only or if they can be taken out of sequence, and Allen </w:t>
      </w:r>
      <w:r w:rsidR="00B93A16">
        <w:t xml:space="preserve">Braden </w:t>
      </w:r>
      <w:r w:rsidR="0030349B">
        <w:t xml:space="preserve">replied that </w:t>
      </w:r>
      <w:r w:rsidR="002402B9">
        <w:t>they can be taken in any order since they do not build on each other, but TCC offers them sequentially (</w:t>
      </w:r>
      <w:r w:rsidR="00C27BA6">
        <w:t>each class once a year, not every</w:t>
      </w:r>
      <w:r w:rsidR="002402B9">
        <w:t xml:space="preserve"> quarter).  Phil Hunter noted </w:t>
      </w:r>
      <w:r w:rsidR="00B93A16">
        <w:t>that the course proposals for</w:t>
      </w:r>
      <w:r w:rsidR="002402B9">
        <w:t xml:space="preserve"> the two British Literature courses</w:t>
      </w:r>
      <w:r w:rsidR="00B93A16">
        <w:t xml:space="preserve"> are still</w:t>
      </w:r>
      <w:r w:rsidR="002402B9">
        <w:t xml:space="preserve"> in the queue to </w:t>
      </w:r>
      <w:r w:rsidR="00B93A16">
        <w:t>be changed</w:t>
      </w:r>
      <w:r w:rsidR="002402B9">
        <w:t xml:space="preserve"> to what’</w:t>
      </w:r>
      <w:r w:rsidR="00C27BA6">
        <w:t>s li</w:t>
      </w:r>
      <w:r w:rsidR="00B93A16">
        <w:t>sted in this proposal, so</w:t>
      </w:r>
      <w:r w:rsidR="00C27BA6">
        <w:t xml:space="preserve"> this proposal</w:t>
      </w:r>
      <w:r w:rsidR="0071182B">
        <w:t>, if approved,</w:t>
      </w:r>
      <w:r w:rsidR="00C27BA6">
        <w:t xml:space="preserve"> </w:t>
      </w:r>
      <w:r w:rsidR="00B93A16">
        <w:t>will</w:t>
      </w:r>
      <w:r w:rsidR="00C27BA6">
        <w:t xml:space="preserve"> be implemented </w:t>
      </w:r>
      <w:r w:rsidR="00B93A16">
        <w:t>after</w:t>
      </w:r>
      <w:r w:rsidR="00C27BA6">
        <w:t xml:space="preserve"> those changes are made.  The motion carried.</w:t>
      </w:r>
    </w:p>
    <w:p w14:paraId="13058AA0" w14:textId="77777777" w:rsidR="00E00E88" w:rsidRPr="00C27BA6" w:rsidRDefault="00E00E88" w:rsidP="00674A17">
      <w:pPr>
        <w:pStyle w:val="ListParagraph"/>
        <w:spacing w:line="240" w:lineRule="auto"/>
        <w:ind w:left="1440"/>
        <w:rPr>
          <w:sz w:val="16"/>
          <w:szCs w:val="16"/>
        </w:rPr>
      </w:pPr>
    </w:p>
    <w:p w14:paraId="6838C431" w14:textId="73D371A3" w:rsidR="006552C5" w:rsidRPr="003F1A01" w:rsidRDefault="006552C5" w:rsidP="00674A17">
      <w:pPr>
        <w:pStyle w:val="ListParagraph"/>
        <w:numPr>
          <w:ilvl w:val="1"/>
          <w:numId w:val="4"/>
        </w:numPr>
        <w:spacing w:line="240" w:lineRule="auto"/>
        <w:rPr>
          <w:b/>
        </w:rPr>
      </w:pPr>
      <w:r w:rsidRPr="003F1A01">
        <w:rPr>
          <w:b/>
        </w:rPr>
        <w:t>Spanish Specialization (AA – Option A)</w:t>
      </w:r>
    </w:p>
    <w:p w14:paraId="1BD7E04B" w14:textId="4E47121F" w:rsidR="002D6907" w:rsidRDefault="003F1A01" w:rsidP="0071182B">
      <w:pPr>
        <w:spacing w:line="240" w:lineRule="auto"/>
        <w:ind w:left="1440"/>
      </w:pPr>
      <w:r>
        <w:t>Craig Cowden moved</w:t>
      </w:r>
      <w:r w:rsidR="00C27BA6">
        <w:t xml:space="preserve"> to recommend approval</w:t>
      </w:r>
      <w:r w:rsidR="00BD1925">
        <w:t xml:space="preserve"> of the Spanish Specialization</w:t>
      </w:r>
      <w:r w:rsidR="00C27BA6">
        <w:t xml:space="preserve"> </w:t>
      </w:r>
      <w:r>
        <w:t>(</w:t>
      </w:r>
      <w:r w:rsidR="00C751E6">
        <w:t>with</w:t>
      </w:r>
      <w:r>
        <w:t xml:space="preserve"> the removal of </w:t>
      </w:r>
      <w:r w:rsidR="00C27BA6">
        <w:t>“</w:t>
      </w:r>
      <w:r>
        <w:t>MRP</w:t>
      </w:r>
      <w:r w:rsidR="00C27BA6">
        <w:t>”</w:t>
      </w:r>
      <w:r w:rsidR="0071182B">
        <w:t xml:space="preserve"> from the Proposal</w:t>
      </w:r>
      <w:r>
        <w:t>)</w:t>
      </w:r>
      <w:r w:rsidR="00C27BA6">
        <w:t xml:space="preserve">, with a </w:t>
      </w:r>
      <w:r>
        <w:t xml:space="preserve">second by Jeff Calkins.  Yvonne </w:t>
      </w:r>
      <w:proofErr w:type="spellStart"/>
      <w:r>
        <w:t>Unnold</w:t>
      </w:r>
      <w:proofErr w:type="spellEnd"/>
      <w:r>
        <w:t xml:space="preserve"> explained</w:t>
      </w:r>
      <w:r w:rsidR="00C27BA6">
        <w:t xml:space="preserve"> that this </w:t>
      </w:r>
      <w:r w:rsidR="00C751E6">
        <w:t>Specialization is fairly straightforward since f</w:t>
      </w:r>
      <w:r w:rsidR="00C27BA6">
        <w:t xml:space="preserve">irst- and </w:t>
      </w:r>
      <w:r w:rsidR="00C751E6">
        <w:t>s</w:t>
      </w:r>
      <w:r w:rsidR="00C27BA6">
        <w:t xml:space="preserve">econd-year Spanish </w:t>
      </w:r>
      <w:r w:rsidR="0071182B">
        <w:t>courses are</w:t>
      </w:r>
      <w:r w:rsidR="00C27BA6">
        <w:t xml:space="preserve"> needed in order to prepare for taking third-year Spanish upon transfer as a </w:t>
      </w:r>
      <w:proofErr w:type="gramStart"/>
      <w:r w:rsidR="00C27BA6">
        <w:t>Junior</w:t>
      </w:r>
      <w:proofErr w:type="gramEnd"/>
      <w:r w:rsidR="00C27BA6">
        <w:t xml:space="preserve">.  Phil Hunter asked whether students </w:t>
      </w:r>
      <w:r w:rsidR="00BA7F0A">
        <w:t>who place into a higher Spanish level via the CLEP test</w:t>
      </w:r>
      <w:r w:rsidR="00E00E88" w:rsidRPr="00E00E88">
        <w:t xml:space="preserve"> </w:t>
      </w:r>
      <w:r w:rsidR="00E00E88">
        <w:t xml:space="preserve">would receive college credit for </w:t>
      </w:r>
      <w:r w:rsidR="00C751E6">
        <w:lastRenderedPageBreak/>
        <w:t>the classes they skip</w:t>
      </w:r>
      <w:r w:rsidR="00BA7F0A">
        <w:t xml:space="preserve">.  Yvonne replied that the CLEP allows students to skip levels in TCC’s Spanish and German sequences, but it does not award college credit for the skipped levels.  </w:t>
      </w:r>
      <w:r w:rsidR="00F0336F">
        <w:t xml:space="preserve">Colleen Spezia </w:t>
      </w:r>
      <w:r w:rsidR="00BD1925">
        <w:t>noted</w:t>
      </w:r>
      <w:r w:rsidR="00F0336F">
        <w:t xml:space="preserve"> that the CLEP does issue </w:t>
      </w:r>
      <w:r w:rsidR="00E205C3">
        <w:t>an official tr</w:t>
      </w:r>
      <w:r w:rsidR="00F0336F">
        <w:t>anscript</w:t>
      </w:r>
      <w:r w:rsidR="00E205C3">
        <w:t xml:space="preserve">.  </w:t>
      </w:r>
      <w:r w:rsidR="00F0336F">
        <w:t xml:space="preserve">Phil </w:t>
      </w:r>
      <w:r w:rsidR="00BD1925">
        <w:t xml:space="preserve">Hunter </w:t>
      </w:r>
      <w:r w:rsidR="00F0336F">
        <w:t>then asked about Milestones, and Colle</w:t>
      </w:r>
      <w:r w:rsidR="00C751E6">
        <w:t>e</w:t>
      </w:r>
      <w:r w:rsidR="00F0336F">
        <w:t>n explained that M</w:t>
      </w:r>
      <w:r w:rsidR="00E205C3">
        <w:t xml:space="preserve">ilestones are used to meet the prerequisite, but students don’t get </w:t>
      </w:r>
      <w:r w:rsidR="00F0336F">
        <w:t xml:space="preserve">college </w:t>
      </w:r>
      <w:r w:rsidR="00E205C3">
        <w:t>credit</w:t>
      </w:r>
      <w:r w:rsidR="00F0336F">
        <w:t>s</w:t>
      </w:r>
      <w:r w:rsidR="00E205C3">
        <w:t xml:space="preserve"> for </w:t>
      </w:r>
      <w:r w:rsidR="00F0336F">
        <w:t>them</w:t>
      </w:r>
      <w:r w:rsidR="00E205C3">
        <w:t xml:space="preserve">.  </w:t>
      </w:r>
      <w:r w:rsidR="00F0336F">
        <w:t xml:space="preserve">Phil </w:t>
      </w:r>
      <w:r w:rsidR="00BD1925">
        <w:t>then brought up a concern</w:t>
      </w:r>
      <w:r w:rsidR="00F0336F">
        <w:t xml:space="preserve"> that the Specialization does not include </w:t>
      </w:r>
      <w:r w:rsidR="00674A17">
        <w:t>l</w:t>
      </w:r>
      <w:r w:rsidR="00F0336F">
        <w:t>anguage clarifying that</w:t>
      </w:r>
      <w:r w:rsidR="00674A17">
        <w:t xml:space="preserve"> students do not need to take the lower-level courses if they’ve placed into the upper-level courses</w:t>
      </w:r>
      <w:r w:rsidR="00C751E6">
        <w:t>, and</w:t>
      </w:r>
      <w:r w:rsidR="00674A17">
        <w:t xml:space="preserve"> </w:t>
      </w:r>
      <w:r w:rsidR="00F0336F">
        <w:t xml:space="preserve">Yvonne offered to add language to that effect.  </w:t>
      </w:r>
      <w:r w:rsidR="00BD1925">
        <w:t>Phil</w:t>
      </w:r>
      <w:r w:rsidR="00F0336F">
        <w:t xml:space="preserve"> </w:t>
      </w:r>
      <w:r w:rsidR="00C751E6">
        <w:t xml:space="preserve">then </w:t>
      </w:r>
      <w:r w:rsidR="00F0336F">
        <w:t xml:space="preserve">asked what minimum number of courses would be required in order for a student to be awarded this Specialization; for example, would a student who places into a high level of Spanish and needs just Spanish 223 be eligible to receive this Specialization, </w:t>
      </w:r>
      <w:r w:rsidR="00BD1925">
        <w:t>despite</w:t>
      </w:r>
      <w:r w:rsidR="00F0336F">
        <w:t xml:space="preserve"> having taken just one class?  </w:t>
      </w:r>
      <w:r w:rsidR="00674A17">
        <w:t>Yvonne</w:t>
      </w:r>
      <w:r w:rsidR="00F0336F">
        <w:t xml:space="preserve"> responded that the student would </w:t>
      </w:r>
      <w:r w:rsidR="00674A17">
        <w:t xml:space="preserve">because </w:t>
      </w:r>
      <w:r w:rsidR="002D6907">
        <w:t xml:space="preserve">the point is not that </w:t>
      </w:r>
      <w:r w:rsidR="00F0336F">
        <w:t>they</w:t>
      </w:r>
      <w:r w:rsidR="002D6907">
        <w:t xml:space="preserve"> accumulate credits but that </w:t>
      </w:r>
      <w:r w:rsidR="00F0336F">
        <w:t>they</w:t>
      </w:r>
      <w:r w:rsidR="002D6907">
        <w:t xml:space="preserve"> ac</w:t>
      </w:r>
      <w:r w:rsidR="00F0336F">
        <w:t>quire</w:t>
      </w:r>
      <w:r w:rsidR="002D6907">
        <w:t xml:space="preserve"> the skills and are ready to transfer at </w:t>
      </w:r>
      <w:proofErr w:type="gramStart"/>
      <w:r w:rsidR="002D6907">
        <w:t>Junior</w:t>
      </w:r>
      <w:proofErr w:type="gramEnd"/>
      <w:r w:rsidR="002D6907">
        <w:t xml:space="preserve"> level.  Greg </w:t>
      </w:r>
      <w:proofErr w:type="spellStart"/>
      <w:r w:rsidR="002D6907">
        <w:t>Ferencko</w:t>
      </w:r>
      <w:proofErr w:type="spellEnd"/>
      <w:r w:rsidR="009B7928">
        <w:t xml:space="preserve"> noted that s</w:t>
      </w:r>
      <w:r w:rsidR="002D6907">
        <w:t xml:space="preserve">ince </w:t>
      </w:r>
      <w:r w:rsidR="00C751E6">
        <w:t>this Specialization is</w:t>
      </w:r>
      <w:r w:rsidR="002D6907">
        <w:t xml:space="preserve"> layered over the Option A degree, </w:t>
      </w:r>
      <w:r w:rsidR="009B7928">
        <w:t>students</w:t>
      </w:r>
      <w:r w:rsidR="00C751E6">
        <w:t xml:space="preserve"> would still need to meet</w:t>
      </w:r>
      <w:r w:rsidR="002D6907">
        <w:t xml:space="preserve"> the residency </w:t>
      </w:r>
      <w:r w:rsidR="00C751E6">
        <w:t xml:space="preserve">and other degree </w:t>
      </w:r>
      <w:r w:rsidR="002D6907">
        <w:t xml:space="preserve">requirements.  </w:t>
      </w:r>
      <w:r w:rsidR="009B7928">
        <w:t>Tod Treat asked</w:t>
      </w:r>
      <w:r w:rsidR="002D6907">
        <w:t xml:space="preserve"> </w:t>
      </w:r>
      <w:r w:rsidR="00C751E6">
        <w:t>why</w:t>
      </w:r>
      <w:r w:rsidR="009B7928">
        <w:t xml:space="preserve"> this Specialization </w:t>
      </w:r>
      <w:r w:rsidR="00C751E6">
        <w:t xml:space="preserve">includes </w:t>
      </w:r>
      <w:r w:rsidR="00E00E88">
        <w:t xml:space="preserve">just the </w:t>
      </w:r>
      <w:r w:rsidR="009B7928">
        <w:t>language sequence</w:t>
      </w:r>
      <w:r w:rsidR="00E00E88">
        <w:t xml:space="preserve"> </w:t>
      </w:r>
      <w:r w:rsidR="00C751E6">
        <w:t>and no</w:t>
      </w:r>
      <w:r w:rsidR="00E00E88">
        <w:t xml:space="preserve"> Spanish literature </w:t>
      </w:r>
      <w:r w:rsidR="009B7928">
        <w:t xml:space="preserve">classes.  Yvonne </w:t>
      </w:r>
      <w:proofErr w:type="spellStart"/>
      <w:r w:rsidR="009B7928">
        <w:t>Unnold</w:t>
      </w:r>
      <w:proofErr w:type="spellEnd"/>
      <w:r w:rsidR="009B7928">
        <w:t xml:space="preserve"> responded that i</w:t>
      </w:r>
      <w:r w:rsidR="00E00E88">
        <w:t xml:space="preserve">n order to read literature in Spanish, </w:t>
      </w:r>
      <w:r w:rsidR="009B7928">
        <w:t>students</w:t>
      </w:r>
      <w:r w:rsidR="00E00E88">
        <w:t xml:space="preserve"> need to be beyond second-year level</w:t>
      </w:r>
      <w:r w:rsidR="009B7928">
        <w:t>; and since this Specialization is just the first two years of language study, students at this level do not have the language proficiency to take</w:t>
      </w:r>
      <w:r w:rsidR="00E00E88">
        <w:t xml:space="preserve"> Spanish literature classes.  </w:t>
      </w:r>
      <w:r w:rsidR="009B7928">
        <w:t>Phil Hunter noted that this Specialization still need</w:t>
      </w:r>
      <w:r w:rsidR="00C751E6">
        <w:t>s</w:t>
      </w:r>
      <w:r w:rsidR="009B7928">
        <w:t xml:space="preserve"> to clarify the credits versus</w:t>
      </w:r>
      <w:r w:rsidR="00E00E88">
        <w:t xml:space="preserve"> proficiency </w:t>
      </w:r>
      <w:r w:rsidR="009B7928">
        <w:t xml:space="preserve">issue, and Yvonne </w:t>
      </w:r>
      <w:r w:rsidR="0071182B">
        <w:t>requested that the Specialization</w:t>
      </w:r>
      <w:r w:rsidR="009B7928">
        <w:t xml:space="preserve"> be approved now</w:t>
      </w:r>
      <w:r w:rsidR="0071182B">
        <w:t>,</w:t>
      </w:r>
      <w:r w:rsidR="009B7928">
        <w:t xml:space="preserve"> with</w:t>
      </w:r>
      <w:r w:rsidR="00E00E88">
        <w:t xml:space="preserve"> the understanding that </w:t>
      </w:r>
      <w:r w:rsidR="009B7928">
        <w:t>she</w:t>
      </w:r>
      <w:r w:rsidR="00E00E88">
        <w:t xml:space="preserve"> would come back </w:t>
      </w:r>
      <w:r w:rsidR="0071182B">
        <w:t xml:space="preserve">to the Committee </w:t>
      </w:r>
      <w:r w:rsidR="00E00E88">
        <w:t>with a modification</w:t>
      </w:r>
      <w:r w:rsidR="009B7928">
        <w:t xml:space="preserve"> clarifying this in the near future.</w:t>
      </w:r>
      <w:r w:rsidR="00E00E88">
        <w:t xml:space="preserve">  The motion carried.</w:t>
      </w:r>
    </w:p>
    <w:p w14:paraId="6021B420" w14:textId="77777777" w:rsidR="00C27BA6" w:rsidRDefault="00C27BA6" w:rsidP="00674A17">
      <w:pPr>
        <w:spacing w:line="240" w:lineRule="auto"/>
        <w:ind w:left="1080"/>
      </w:pPr>
    </w:p>
    <w:p w14:paraId="3024E0A1" w14:textId="6CA7C15F" w:rsidR="006552C5" w:rsidRPr="003F1A01" w:rsidRDefault="006552C5" w:rsidP="00674A17">
      <w:pPr>
        <w:pStyle w:val="ListParagraph"/>
        <w:numPr>
          <w:ilvl w:val="1"/>
          <w:numId w:val="4"/>
        </w:numPr>
        <w:spacing w:line="240" w:lineRule="auto"/>
        <w:rPr>
          <w:b/>
        </w:rPr>
      </w:pPr>
      <w:r w:rsidRPr="003F1A01">
        <w:rPr>
          <w:b/>
        </w:rPr>
        <w:t>World Languages Specialization (AA – Option A)</w:t>
      </w:r>
    </w:p>
    <w:p w14:paraId="4CD3C22F" w14:textId="797294AF" w:rsidR="00E65094" w:rsidRDefault="003F1A01" w:rsidP="00E65094">
      <w:pPr>
        <w:spacing w:line="240" w:lineRule="auto"/>
        <w:ind w:left="1440"/>
      </w:pPr>
      <w:r>
        <w:t xml:space="preserve">Bridgette </w:t>
      </w:r>
      <w:proofErr w:type="spellStart"/>
      <w:r>
        <w:t>Agpaoa</w:t>
      </w:r>
      <w:proofErr w:type="spellEnd"/>
      <w:r>
        <w:t>-Ryder moved</w:t>
      </w:r>
      <w:r w:rsidR="00C751E6">
        <w:t xml:space="preserve"> to recommend approv</w:t>
      </w:r>
      <w:r w:rsidR="006F28F3">
        <w:t>al</w:t>
      </w:r>
      <w:r w:rsidR="00C751E6">
        <w:t xml:space="preserve"> of the World Languages Specialization (with “MRP” removed from the Proposal), with a </w:t>
      </w:r>
      <w:r>
        <w:t xml:space="preserve">second by Jeff Calkins.  Yvonne </w:t>
      </w:r>
      <w:proofErr w:type="spellStart"/>
      <w:r>
        <w:t>Unnold</w:t>
      </w:r>
      <w:proofErr w:type="spellEnd"/>
      <w:r>
        <w:t xml:space="preserve"> explained</w:t>
      </w:r>
      <w:r w:rsidR="00C751E6">
        <w:t xml:space="preserve"> that th</w:t>
      </w:r>
      <w:r w:rsidR="006F28F3">
        <w:t>is Specialization</w:t>
      </w:r>
      <w:r w:rsidR="00C751E6">
        <w:t xml:space="preserve"> requires students to complete the second year of Spanish </w:t>
      </w:r>
      <w:r w:rsidR="00A91BF3">
        <w:t xml:space="preserve">and </w:t>
      </w:r>
      <w:r w:rsidR="006F28F3">
        <w:t xml:space="preserve">the first year of </w:t>
      </w:r>
      <w:r w:rsidR="00A91BF3">
        <w:t>one of the other languages that TCC offers.  Craig Cowden asked if students could CLEP out of the second year of Spanish, and Yvonne replied that they could.  Mary Jane Oberhofer asked why this focuses on just Spanish, Chinese, German, &amp; Japanese</w:t>
      </w:r>
      <w:r w:rsidR="00BD1925">
        <w:t xml:space="preserve"> and not</w:t>
      </w:r>
      <w:r w:rsidR="00A91BF3">
        <w:t xml:space="preserve"> French, Arabic, </w:t>
      </w:r>
      <w:r w:rsidR="002E6BE6">
        <w:t>or other languages</w:t>
      </w:r>
      <w:r w:rsidR="00BD1925">
        <w:t>.</w:t>
      </w:r>
      <w:r w:rsidR="00A91BF3">
        <w:t xml:space="preserve"> </w:t>
      </w:r>
      <w:r w:rsidR="0071182B">
        <w:t xml:space="preserve"> Yvonne explained that </w:t>
      </w:r>
      <w:r w:rsidR="00A91BF3">
        <w:t xml:space="preserve">enrollments currently are not strong enough for TCC to be able to offer second-year classes in </w:t>
      </w:r>
      <w:r w:rsidR="006F28F3">
        <w:t>the</w:t>
      </w:r>
      <w:r w:rsidR="00815D03">
        <w:t>se</w:t>
      </w:r>
      <w:r w:rsidR="00A91BF3">
        <w:t xml:space="preserve"> languages</w:t>
      </w:r>
      <w:r w:rsidR="006F28F3">
        <w:t>; however, work is under way</w:t>
      </w:r>
      <w:r w:rsidR="00A91BF3">
        <w:t xml:space="preserve"> </w:t>
      </w:r>
      <w:r w:rsidR="006F28F3">
        <w:t>to draft an articulation that</w:t>
      </w:r>
      <w:r w:rsidR="00A91BF3">
        <w:t xml:space="preserve"> will allow </w:t>
      </w:r>
      <w:r w:rsidR="006F28F3">
        <w:t>TCC</w:t>
      </w:r>
      <w:r w:rsidR="00A91BF3">
        <w:t xml:space="preserve"> students to complete the second year </w:t>
      </w:r>
      <w:r w:rsidR="00815D03">
        <w:t>of</w:t>
      </w:r>
      <w:r w:rsidR="00A91BF3">
        <w:t xml:space="preserve"> German at PLU while completing their </w:t>
      </w:r>
      <w:r w:rsidR="002E6BE6">
        <w:t>other language courses at TCC; this would allow students to choose German plus another language.</w:t>
      </w:r>
      <w:r w:rsidR="00A91BF3">
        <w:t xml:space="preserve"> </w:t>
      </w:r>
      <w:r w:rsidR="002E6BE6">
        <w:t xml:space="preserve"> </w:t>
      </w:r>
      <w:r w:rsidR="009F2C16">
        <w:t xml:space="preserve">Colleen Spezia </w:t>
      </w:r>
      <w:r w:rsidR="002E6BE6">
        <w:t>noted that sometimes students transfer in</w:t>
      </w:r>
      <w:r w:rsidR="009F2C16">
        <w:t xml:space="preserve"> language</w:t>
      </w:r>
      <w:r w:rsidR="002E6BE6">
        <w:t>s</w:t>
      </w:r>
      <w:r w:rsidR="009F2C16">
        <w:t xml:space="preserve"> that </w:t>
      </w:r>
      <w:r w:rsidR="00815D03">
        <w:t>TCC</w:t>
      </w:r>
      <w:r w:rsidR="009F2C16">
        <w:t xml:space="preserve"> do</w:t>
      </w:r>
      <w:r w:rsidR="00815D03">
        <w:t>es not</w:t>
      </w:r>
      <w:r w:rsidR="009F2C16">
        <w:t xml:space="preserve"> offer</w:t>
      </w:r>
      <w:r w:rsidR="002E6BE6">
        <w:t xml:space="preserve">, so we need to address that possibility as well. </w:t>
      </w:r>
      <w:r w:rsidR="009F2C16">
        <w:t xml:space="preserve"> Tod Treat </w:t>
      </w:r>
      <w:r w:rsidR="002E6BE6">
        <w:t>suggested that</w:t>
      </w:r>
      <w:r w:rsidR="009F2C16">
        <w:t xml:space="preserve"> </w:t>
      </w:r>
      <w:r w:rsidR="002E6BE6">
        <w:t xml:space="preserve">the </w:t>
      </w:r>
      <w:r w:rsidR="008728EE">
        <w:t>wording</w:t>
      </w:r>
      <w:r w:rsidR="002E6BE6">
        <w:t xml:space="preserve"> </w:t>
      </w:r>
      <w:r w:rsidR="009F2C16">
        <w:t xml:space="preserve">could be </w:t>
      </w:r>
      <w:r w:rsidR="008728EE">
        <w:t>made</w:t>
      </w:r>
      <w:r w:rsidR="002E6BE6">
        <w:t xml:space="preserve"> more flexible</w:t>
      </w:r>
      <w:r w:rsidR="008728EE">
        <w:t xml:space="preserve"> so that</w:t>
      </w:r>
      <w:r w:rsidR="009F2C16">
        <w:t xml:space="preserve"> </w:t>
      </w:r>
      <w:r w:rsidR="008728EE">
        <w:t>if offerings change</w:t>
      </w:r>
      <w:r w:rsidR="009F2C16">
        <w:t xml:space="preserve"> in the future, </w:t>
      </w:r>
      <w:r w:rsidR="002E6BE6">
        <w:t>the Specialization would</w:t>
      </w:r>
      <w:r w:rsidR="009F2C16">
        <w:t xml:space="preserve">n’t </w:t>
      </w:r>
      <w:r w:rsidR="009F2C16">
        <w:lastRenderedPageBreak/>
        <w:t xml:space="preserve">have </w:t>
      </w:r>
      <w:r w:rsidR="008728EE">
        <w:t>to be rewritten; i</w:t>
      </w:r>
      <w:r w:rsidR="002E6BE6">
        <w:t>t could be worded</w:t>
      </w:r>
      <w:r w:rsidR="009F2C16">
        <w:t xml:space="preserve"> </w:t>
      </w:r>
      <w:r w:rsidR="002E6BE6">
        <w:t>to require</w:t>
      </w:r>
      <w:r w:rsidR="009F2C16">
        <w:t xml:space="preserve"> a year of 200-level </w:t>
      </w:r>
      <w:r w:rsidR="002E6BE6">
        <w:t xml:space="preserve">courses in one language </w:t>
      </w:r>
      <w:r w:rsidR="009F2C16">
        <w:t xml:space="preserve">and a year of 100-level </w:t>
      </w:r>
      <w:r w:rsidR="002E6BE6">
        <w:t xml:space="preserve">courses </w:t>
      </w:r>
      <w:r w:rsidR="009F2C16">
        <w:t>in a different language</w:t>
      </w:r>
      <w:r w:rsidR="002E6BE6">
        <w:t xml:space="preserve">, </w:t>
      </w:r>
      <w:r w:rsidR="008728EE">
        <w:t>without</w:t>
      </w:r>
      <w:r w:rsidR="002E6BE6">
        <w:t xml:space="preserve"> specifying the languages.</w:t>
      </w:r>
      <w:r w:rsidR="009F2C16">
        <w:t xml:space="preserve">  Yvonne </w:t>
      </w:r>
      <w:r w:rsidR="002E6BE6">
        <w:t>agre</w:t>
      </w:r>
      <w:r w:rsidR="00815D03">
        <w:t>ed</w:t>
      </w:r>
      <w:r w:rsidR="009F2C16">
        <w:t xml:space="preserve"> and </w:t>
      </w:r>
      <w:r w:rsidR="008728EE">
        <w:t>added that</w:t>
      </w:r>
      <w:r w:rsidR="009F2C16">
        <w:t xml:space="preserve"> </w:t>
      </w:r>
      <w:r w:rsidR="008728EE">
        <w:t>the</w:t>
      </w:r>
      <w:r w:rsidR="009F2C16">
        <w:t xml:space="preserve"> </w:t>
      </w:r>
      <w:r w:rsidR="002E6BE6">
        <w:t xml:space="preserve">languages </w:t>
      </w:r>
      <w:r w:rsidR="008728EE">
        <w:t>currently being offered could be specified in a separate</w:t>
      </w:r>
      <w:r w:rsidR="009F2C16">
        <w:t xml:space="preserve"> advising sheet.  </w:t>
      </w:r>
      <w:r w:rsidR="002E6BE6">
        <w:t>B</w:t>
      </w:r>
      <w:r w:rsidR="006F28F3">
        <w:t xml:space="preserve">ridgette </w:t>
      </w:r>
      <w:proofErr w:type="spellStart"/>
      <w:r w:rsidR="006F28F3">
        <w:t>Agpaoa</w:t>
      </w:r>
      <w:proofErr w:type="spellEnd"/>
      <w:r w:rsidR="006F28F3">
        <w:t xml:space="preserve">-Ryder suggested that the Committee approve the Specialization as it is now, with the understanding that it </w:t>
      </w:r>
      <w:r w:rsidR="002E6BE6">
        <w:t>w</w:t>
      </w:r>
      <w:r w:rsidR="006F28F3">
        <w:t xml:space="preserve">ould be revised to reflect </w:t>
      </w:r>
      <w:r w:rsidR="008728EE">
        <w:t>this flexibility</w:t>
      </w:r>
      <w:r w:rsidR="006F28F3">
        <w:t>.  Yvonne said that she would bring the revision before the Committee at the next</w:t>
      </w:r>
      <w:r w:rsidR="00E65094">
        <w:t xml:space="preserve"> meeting.  The motion carried.</w:t>
      </w:r>
    </w:p>
    <w:p w14:paraId="0292CD1E"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Tacoma Community College</w:t>
      </w:r>
    </w:p>
    <w:p w14:paraId="54D3B770" w14:textId="77777777" w:rsidR="00421DF1" w:rsidRDefault="00421DF1" w:rsidP="00421DF1">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59311EBA" w14:textId="77777777" w:rsidR="00421DF1" w:rsidRDefault="00421DF1" w:rsidP="00421DF1">
      <w:pPr>
        <w:spacing w:line="240" w:lineRule="auto"/>
        <w:jc w:val="center"/>
        <w:rPr>
          <w:rFonts w:ascii="Times New Roman" w:eastAsia="Times New Roman" w:hAnsi="Times New Roman"/>
          <w:sz w:val="20"/>
          <w:szCs w:val="20"/>
        </w:rPr>
      </w:pPr>
      <w:r>
        <w:rPr>
          <w:rFonts w:ascii="Calibri" w:eastAsia="Times New Roman" w:hAnsi="Calibri" w:cs="Calibri"/>
          <w:b/>
          <w:bCs/>
          <w:color w:val="000000"/>
          <w:sz w:val="28"/>
          <w:szCs w:val="28"/>
        </w:rPr>
        <w:t>2017 – 2018</w:t>
      </w:r>
    </w:p>
    <w:p w14:paraId="4C74AAA6" w14:textId="77777777" w:rsidR="00421DF1" w:rsidRDefault="00421DF1" w:rsidP="00421DF1">
      <w:pPr>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E65094" w14:paraId="38ADD92E" w14:textId="77777777" w:rsidTr="00E65094">
        <w:trPr>
          <w:trHeight w:val="285"/>
          <w:tblHeader/>
        </w:trPr>
        <w:tc>
          <w:tcPr>
            <w:tcW w:w="5400" w:type="dxa"/>
            <w:gridSpan w:val="3"/>
            <w:noWrap/>
            <w:hideMark/>
          </w:tcPr>
          <w:p w14:paraId="2F405F11" w14:textId="77777777" w:rsidR="00E65094" w:rsidRDefault="00E65094">
            <w:pPr>
              <w:rPr>
                <w:rFonts w:ascii="Times New Roman" w:eastAsia="Times New Roman" w:hAnsi="Times New Roman"/>
                <w:sz w:val="20"/>
                <w:szCs w:val="20"/>
              </w:rPr>
            </w:pPr>
          </w:p>
        </w:tc>
        <w:tc>
          <w:tcPr>
            <w:tcW w:w="4410" w:type="dxa"/>
            <w:gridSpan w:val="2"/>
            <w:noWrap/>
            <w:hideMark/>
          </w:tcPr>
          <w:p w14:paraId="57DD7E04" w14:textId="77777777" w:rsidR="00E65094" w:rsidRDefault="00E65094">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538BE3C5" w14:textId="6368C446" w:rsidR="00E65094" w:rsidRDefault="00E65094">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tr w:rsidR="00E65094" w14:paraId="20404C67" w14:textId="77777777" w:rsidTr="00D113B1">
        <w:trPr>
          <w:trHeight w:val="603"/>
        </w:trPr>
        <w:tc>
          <w:tcPr>
            <w:tcW w:w="1800" w:type="dxa"/>
            <w:noWrap/>
            <w:hideMark/>
          </w:tcPr>
          <w:p w14:paraId="6049DC4E" w14:textId="77777777" w:rsidR="00E65094" w:rsidRDefault="00E65094">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p>
          <w:p w14:paraId="007180AC" w14:textId="0C959486" w:rsidR="00E65094" w:rsidRDefault="00E65094" w:rsidP="00C93644">
            <w:pPr>
              <w:jc w:val="center"/>
              <w:rPr>
                <w:rFonts w:ascii="Calibri" w:eastAsia="Times New Roman" w:hAnsi="Calibri" w:cs="Calibri"/>
                <w:b/>
                <w:bCs/>
                <w:color w:val="000000"/>
              </w:rPr>
            </w:pPr>
            <w:r>
              <w:rPr>
                <w:rFonts w:ascii="Calibri" w:eastAsia="Times New Roman" w:hAnsi="Calibri" w:cs="Calibri"/>
                <w:b/>
                <w:bCs/>
                <w:color w:val="000000"/>
              </w:rPr>
              <w:t>Agenda Ready</w:t>
            </w:r>
          </w:p>
        </w:tc>
        <w:tc>
          <w:tcPr>
            <w:tcW w:w="1890" w:type="dxa"/>
            <w:noWrap/>
            <w:hideMark/>
          </w:tcPr>
          <w:p w14:paraId="5C860BF4" w14:textId="77777777" w:rsidR="00E65094" w:rsidRDefault="00E65094">
            <w:pPr>
              <w:jc w:val="center"/>
              <w:rPr>
                <w:rFonts w:ascii="Calibri" w:eastAsia="Times New Roman" w:hAnsi="Calibri" w:cs="Calibri"/>
                <w:b/>
                <w:bCs/>
                <w:color w:val="000000"/>
              </w:rPr>
            </w:pPr>
            <w:r>
              <w:rPr>
                <w:rFonts w:ascii="Calibri" w:eastAsia="Times New Roman" w:hAnsi="Calibri" w:cs="Calibri"/>
                <w:b/>
                <w:bCs/>
                <w:color w:val="000000"/>
              </w:rPr>
              <w:t>Agenda</w:t>
            </w:r>
          </w:p>
          <w:p w14:paraId="1D61FA7D" w14:textId="1D857505" w:rsidR="00E65094" w:rsidRDefault="00E65094" w:rsidP="00F16C72">
            <w:pPr>
              <w:jc w:val="center"/>
              <w:rPr>
                <w:rFonts w:ascii="Calibri" w:eastAsia="Times New Roman" w:hAnsi="Calibri" w:cs="Calibri"/>
                <w:b/>
                <w:bCs/>
                <w:color w:val="000000"/>
              </w:rPr>
            </w:pPr>
            <w:r>
              <w:rPr>
                <w:rFonts w:ascii="Calibri" w:eastAsia="Times New Roman" w:hAnsi="Calibri" w:cs="Calibri"/>
                <w:b/>
                <w:bCs/>
                <w:color w:val="000000"/>
              </w:rPr>
              <w:t>Published</w:t>
            </w:r>
          </w:p>
        </w:tc>
        <w:tc>
          <w:tcPr>
            <w:tcW w:w="1710" w:type="dxa"/>
            <w:hideMark/>
          </w:tcPr>
          <w:p w14:paraId="448D382E" w14:textId="77777777" w:rsidR="00E65094" w:rsidRDefault="00E65094">
            <w:pPr>
              <w:jc w:val="center"/>
              <w:rPr>
                <w:rFonts w:ascii="Calibri" w:eastAsia="Times New Roman" w:hAnsi="Calibri" w:cs="Calibri"/>
                <w:b/>
                <w:bCs/>
                <w:color w:val="000000"/>
              </w:rPr>
            </w:pPr>
            <w:r>
              <w:rPr>
                <w:rFonts w:ascii="Calibri" w:eastAsia="Times New Roman" w:hAnsi="Calibri" w:cs="Calibri"/>
                <w:b/>
                <w:bCs/>
                <w:color w:val="000000"/>
              </w:rPr>
              <w:t xml:space="preserve"> </w:t>
            </w:r>
          </w:p>
          <w:p w14:paraId="52D34322" w14:textId="78B107C9" w:rsidR="00E65094" w:rsidRDefault="00E65094" w:rsidP="00412C0F">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noWrap/>
            <w:hideMark/>
          </w:tcPr>
          <w:p w14:paraId="50F3E3A5" w14:textId="77777777" w:rsidR="00E65094" w:rsidRDefault="00E65094">
            <w:pPr>
              <w:jc w:val="center"/>
              <w:rPr>
                <w:rFonts w:ascii="Calibri" w:eastAsia="Times New Roman" w:hAnsi="Calibri" w:cs="Calibri"/>
                <w:b/>
                <w:bCs/>
                <w:color w:val="000000"/>
              </w:rPr>
            </w:pPr>
            <w:r>
              <w:rPr>
                <w:rFonts w:ascii="Calibri" w:eastAsia="Times New Roman" w:hAnsi="Calibri" w:cs="Calibri"/>
                <w:b/>
                <w:bCs/>
                <w:color w:val="000000"/>
              </w:rPr>
              <w:t>ctcLink</w:t>
            </w:r>
          </w:p>
          <w:p w14:paraId="0DC35DC3" w14:textId="37712408" w:rsidR="00E65094" w:rsidRDefault="00E65094" w:rsidP="003549E0">
            <w:pPr>
              <w:jc w:val="center"/>
              <w:rPr>
                <w:rFonts w:ascii="Calibri" w:eastAsia="Times New Roman" w:hAnsi="Calibri" w:cs="Calibri"/>
                <w:b/>
                <w:bCs/>
                <w:color w:val="000000"/>
              </w:rPr>
            </w:pPr>
            <w:r>
              <w:rPr>
                <w:rFonts w:ascii="Calibri" w:eastAsia="Times New Roman" w:hAnsi="Calibri" w:cs="Calibri"/>
                <w:b/>
                <w:bCs/>
                <w:color w:val="000000"/>
              </w:rPr>
              <w:t>Catalog Items</w:t>
            </w:r>
          </w:p>
        </w:tc>
        <w:tc>
          <w:tcPr>
            <w:tcW w:w="2160" w:type="dxa"/>
            <w:noWrap/>
            <w:hideMark/>
          </w:tcPr>
          <w:p w14:paraId="63FE987B" w14:textId="77777777" w:rsidR="00E65094" w:rsidRDefault="00E65094">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p>
          <w:p w14:paraId="1AF0BAF0" w14:textId="392C870B" w:rsidR="00E65094" w:rsidRDefault="00E65094" w:rsidP="00D113B1">
            <w:pPr>
              <w:jc w:val="center"/>
              <w:rPr>
                <w:rFonts w:ascii="Calibri" w:eastAsia="Times New Roman" w:hAnsi="Calibri" w:cs="Calibri"/>
                <w:b/>
                <w:bCs/>
                <w:color w:val="000000"/>
              </w:rPr>
            </w:pPr>
            <w:r>
              <w:rPr>
                <w:rFonts w:ascii="Calibri" w:eastAsia="Times New Roman" w:hAnsi="Calibri" w:cs="Calibri"/>
                <w:b/>
                <w:bCs/>
                <w:color w:val="000000"/>
              </w:rPr>
              <w:t>Catalog items</w:t>
            </w:r>
          </w:p>
        </w:tc>
      </w:tr>
      <w:tr w:rsidR="00421DF1" w14:paraId="2A92B773" w14:textId="77777777" w:rsidTr="00E65094">
        <w:trPr>
          <w:trHeight w:val="285"/>
        </w:trPr>
        <w:tc>
          <w:tcPr>
            <w:tcW w:w="1800" w:type="dxa"/>
            <w:noWrap/>
            <w:hideMark/>
          </w:tcPr>
          <w:p w14:paraId="11B4ABC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10/27/2017</w:t>
            </w:r>
          </w:p>
        </w:tc>
        <w:tc>
          <w:tcPr>
            <w:tcW w:w="1890" w:type="dxa"/>
            <w:noWrap/>
            <w:hideMark/>
          </w:tcPr>
          <w:p w14:paraId="5B2F6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10/31/2017</w:t>
            </w:r>
          </w:p>
        </w:tc>
        <w:tc>
          <w:tcPr>
            <w:tcW w:w="1710" w:type="dxa"/>
            <w:hideMark/>
          </w:tcPr>
          <w:p w14:paraId="45C22E3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11/6/2017</w:t>
            </w:r>
          </w:p>
        </w:tc>
        <w:tc>
          <w:tcPr>
            <w:tcW w:w="2250" w:type="dxa"/>
            <w:noWrap/>
            <w:hideMark/>
          </w:tcPr>
          <w:p w14:paraId="4572C37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c>
          <w:tcPr>
            <w:tcW w:w="2160" w:type="dxa"/>
            <w:noWrap/>
            <w:hideMark/>
          </w:tcPr>
          <w:p w14:paraId="5EC0EEB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7B7F4236" w14:textId="77777777" w:rsidTr="00E65094">
        <w:trPr>
          <w:trHeight w:val="285"/>
        </w:trPr>
        <w:tc>
          <w:tcPr>
            <w:tcW w:w="1800" w:type="dxa"/>
            <w:noWrap/>
            <w:hideMark/>
          </w:tcPr>
          <w:p w14:paraId="59948FD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11/27/2017</w:t>
            </w:r>
          </w:p>
        </w:tc>
        <w:tc>
          <w:tcPr>
            <w:tcW w:w="1890" w:type="dxa"/>
            <w:noWrap/>
            <w:hideMark/>
          </w:tcPr>
          <w:p w14:paraId="3360105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11/28/2017</w:t>
            </w:r>
          </w:p>
        </w:tc>
        <w:tc>
          <w:tcPr>
            <w:tcW w:w="1710" w:type="dxa"/>
            <w:hideMark/>
          </w:tcPr>
          <w:p w14:paraId="07609C0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12/4/2017</w:t>
            </w:r>
          </w:p>
        </w:tc>
        <w:tc>
          <w:tcPr>
            <w:tcW w:w="2250" w:type="dxa"/>
            <w:noWrap/>
            <w:hideMark/>
          </w:tcPr>
          <w:p w14:paraId="204E5CA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794587F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2018</w:t>
            </w:r>
          </w:p>
        </w:tc>
      </w:tr>
      <w:tr w:rsidR="00421DF1" w14:paraId="177ABE63" w14:textId="77777777" w:rsidTr="00E65094">
        <w:trPr>
          <w:trHeight w:val="285"/>
        </w:trPr>
        <w:tc>
          <w:tcPr>
            <w:tcW w:w="1800" w:type="dxa"/>
            <w:noWrap/>
            <w:hideMark/>
          </w:tcPr>
          <w:p w14:paraId="5C1C062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1/26/2018</w:t>
            </w:r>
          </w:p>
        </w:tc>
        <w:tc>
          <w:tcPr>
            <w:tcW w:w="1890" w:type="dxa"/>
            <w:noWrap/>
            <w:hideMark/>
          </w:tcPr>
          <w:p w14:paraId="3A240B3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1/30/2018</w:t>
            </w:r>
          </w:p>
        </w:tc>
        <w:tc>
          <w:tcPr>
            <w:tcW w:w="1710" w:type="dxa"/>
            <w:hideMark/>
          </w:tcPr>
          <w:p w14:paraId="13CEEDB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2/5/20</w:t>
            </w:r>
            <w:bookmarkStart w:id="1" w:name="_GoBack"/>
            <w:bookmarkEnd w:id="1"/>
            <w:r>
              <w:rPr>
                <w:rFonts w:ascii="Calibri" w:eastAsia="Times New Roman" w:hAnsi="Calibri" w:cs="Calibri"/>
                <w:color w:val="000000"/>
              </w:rPr>
              <w:t>18</w:t>
            </w:r>
          </w:p>
        </w:tc>
        <w:tc>
          <w:tcPr>
            <w:tcW w:w="2250" w:type="dxa"/>
            <w:noWrap/>
            <w:hideMark/>
          </w:tcPr>
          <w:p w14:paraId="04812EF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c>
          <w:tcPr>
            <w:tcW w:w="2160" w:type="dxa"/>
            <w:noWrap/>
            <w:hideMark/>
          </w:tcPr>
          <w:p w14:paraId="6AF36BC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0C57EB33" w14:textId="77777777" w:rsidTr="00E65094">
        <w:trPr>
          <w:trHeight w:val="285"/>
        </w:trPr>
        <w:tc>
          <w:tcPr>
            <w:tcW w:w="1800" w:type="dxa"/>
            <w:noWrap/>
            <w:hideMark/>
          </w:tcPr>
          <w:p w14:paraId="5AE690A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2/23/2018</w:t>
            </w:r>
          </w:p>
        </w:tc>
        <w:tc>
          <w:tcPr>
            <w:tcW w:w="1890" w:type="dxa"/>
            <w:noWrap/>
            <w:hideMark/>
          </w:tcPr>
          <w:p w14:paraId="5A47B1A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2/27/2018</w:t>
            </w:r>
          </w:p>
        </w:tc>
        <w:tc>
          <w:tcPr>
            <w:tcW w:w="1710" w:type="dxa"/>
            <w:hideMark/>
          </w:tcPr>
          <w:p w14:paraId="0B7737D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3/5/2018</w:t>
            </w:r>
          </w:p>
        </w:tc>
        <w:tc>
          <w:tcPr>
            <w:tcW w:w="2250" w:type="dxa"/>
            <w:noWrap/>
            <w:hideMark/>
          </w:tcPr>
          <w:p w14:paraId="77A6540C"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42F356D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2018</w:t>
            </w:r>
          </w:p>
        </w:tc>
      </w:tr>
      <w:tr w:rsidR="00421DF1" w14:paraId="61FBB6E9" w14:textId="77777777" w:rsidTr="00E65094">
        <w:trPr>
          <w:trHeight w:val="285"/>
        </w:trPr>
        <w:tc>
          <w:tcPr>
            <w:tcW w:w="1800" w:type="dxa"/>
            <w:noWrap/>
            <w:hideMark/>
          </w:tcPr>
          <w:p w14:paraId="23E6BCA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3/16/2018</w:t>
            </w:r>
          </w:p>
        </w:tc>
        <w:tc>
          <w:tcPr>
            <w:tcW w:w="1890" w:type="dxa"/>
            <w:noWrap/>
            <w:hideMark/>
          </w:tcPr>
          <w:p w14:paraId="65DF095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3/20/2018</w:t>
            </w:r>
          </w:p>
        </w:tc>
        <w:tc>
          <w:tcPr>
            <w:tcW w:w="1710" w:type="dxa"/>
            <w:hideMark/>
          </w:tcPr>
          <w:p w14:paraId="3875FF76"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4/2/2018</w:t>
            </w:r>
          </w:p>
        </w:tc>
        <w:tc>
          <w:tcPr>
            <w:tcW w:w="2250" w:type="dxa"/>
            <w:noWrap/>
            <w:hideMark/>
          </w:tcPr>
          <w:p w14:paraId="21D615D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2D103631"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3D93DC4A" w14:textId="77777777" w:rsidTr="00E65094">
        <w:trPr>
          <w:trHeight w:val="285"/>
        </w:trPr>
        <w:tc>
          <w:tcPr>
            <w:tcW w:w="1800" w:type="dxa"/>
            <w:noWrap/>
            <w:hideMark/>
          </w:tcPr>
          <w:p w14:paraId="10A502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4/27/2018</w:t>
            </w:r>
          </w:p>
        </w:tc>
        <w:tc>
          <w:tcPr>
            <w:tcW w:w="1890" w:type="dxa"/>
            <w:noWrap/>
            <w:hideMark/>
          </w:tcPr>
          <w:p w14:paraId="256E28B9"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5/1/2018</w:t>
            </w:r>
          </w:p>
        </w:tc>
        <w:tc>
          <w:tcPr>
            <w:tcW w:w="1710" w:type="dxa"/>
            <w:hideMark/>
          </w:tcPr>
          <w:p w14:paraId="0E1D06E5"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5/7/2018</w:t>
            </w:r>
          </w:p>
        </w:tc>
        <w:tc>
          <w:tcPr>
            <w:tcW w:w="2250" w:type="dxa"/>
            <w:noWrap/>
            <w:hideMark/>
          </w:tcPr>
          <w:p w14:paraId="0A9E2FD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c>
          <w:tcPr>
            <w:tcW w:w="2160" w:type="dxa"/>
            <w:noWrap/>
            <w:hideMark/>
          </w:tcPr>
          <w:p w14:paraId="719D60B4"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19F0B0F7" w14:textId="77777777" w:rsidTr="00E65094">
        <w:trPr>
          <w:trHeight w:val="293"/>
        </w:trPr>
        <w:tc>
          <w:tcPr>
            <w:tcW w:w="1800" w:type="dxa"/>
            <w:noWrap/>
            <w:hideMark/>
          </w:tcPr>
          <w:p w14:paraId="6C76E94F"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5/25/2018</w:t>
            </w:r>
          </w:p>
        </w:tc>
        <w:tc>
          <w:tcPr>
            <w:tcW w:w="1890" w:type="dxa"/>
            <w:noWrap/>
            <w:hideMark/>
          </w:tcPr>
          <w:p w14:paraId="28E1612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5/29/2018</w:t>
            </w:r>
          </w:p>
        </w:tc>
        <w:tc>
          <w:tcPr>
            <w:tcW w:w="1710" w:type="dxa"/>
            <w:hideMark/>
          </w:tcPr>
          <w:p w14:paraId="6958ECE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6/4/2018</w:t>
            </w:r>
          </w:p>
        </w:tc>
        <w:tc>
          <w:tcPr>
            <w:tcW w:w="2250" w:type="dxa"/>
            <w:noWrap/>
            <w:hideMark/>
          </w:tcPr>
          <w:p w14:paraId="13857506" w14:textId="4C14ACD3" w:rsidR="00421DF1" w:rsidRDefault="00421DF1">
            <w:pPr>
              <w:jc w:val="center"/>
              <w:rPr>
                <w:rFonts w:ascii="Calibri" w:eastAsia="Times New Roman" w:hAnsi="Calibri" w:cs="Calibri"/>
                <w:color w:val="000000"/>
              </w:rPr>
            </w:pPr>
            <w:r>
              <w:rPr>
                <w:rFonts w:ascii="Calibri" w:eastAsia="Times New Roman" w:hAnsi="Calibri" w:cs="Calibri"/>
                <w:color w:val="000000"/>
              </w:rPr>
              <w:t> Winter/Spring 2019</w:t>
            </w:r>
          </w:p>
        </w:tc>
        <w:tc>
          <w:tcPr>
            <w:tcW w:w="2160" w:type="dxa"/>
            <w:noWrap/>
            <w:hideMark/>
          </w:tcPr>
          <w:p w14:paraId="01E71A82"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2018</w:t>
            </w:r>
          </w:p>
        </w:tc>
      </w:tr>
      <w:tr w:rsidR="00421DF1" w14:paraId="6BE2219F" w14:textId="77777777" w:rsidTr="00E65094">
        <w:trPr>
          <w:trHeight w:val="293"/>
        </w:trPr>
        <w:tc>
          <w:tcPr>
            <w:tcW w:w="1800" w:type="dxa"/>
            <w:noWrap/>
            <w:hideMark/>
          </w:tcPr>
          <w:p w14:paraId="41C1AF0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9/21/2018</w:t>
            </w:r>
          </w:p>
        </w:tc>
        <w:tc>
          <w:tcPr>
            <w:tcW w:w="1890" w:type="dxa"/>
            <w:noWrap/>
            <w:hideMark/>
          </w:tcPr>
          <w:p w14:paraId="3E63777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08EB736B"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4BB77928"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Spring 2019</w:t>
            </w:r>
          </w:p>
        </w:tc>
        <w:tc>
          <w:tcPr>
            <w:tcW w:w="2160" w:type="dxa"/>
            <w:noWrap/>
            <w:hideMark/>
          </w:tcPr>
          <w:p w14:paraId="58AFD097"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r w:rsidR="00421DF1" w14:paraId="62DE62E4" w14:textId="77777777" w:rsidTr="00E65094">
        <w:trPr>
          <w:trHeight w:val="293"/>
        </w:trPr>
        <w:tc>
          <w:tcPr>
            <w:tcW w:w="1800" w:type="dxa"/>
            <w:noWrap/>
            <w:hideMark/>
          </w:tcPr>
          <w:p w14:paraId="5D30B8C3"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10/26/2018</w:t>
            </w:r>
          </w:p>
        </w:tc>
        <w:tc>
          <w:tcPr>
            <w:tcW w:w="1890" w:type="dxa"/>
            <w:noWrap/>
            <w:hideMark/>
          </w:tcPr>
          <w:p w14:paraId="312CEF2D"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23E05F20"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71AE16EE"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hideMark/>
          </w:tcPr>
          <w:p w14:paraId="3EB28D2A" w14:textId="77777777" w:rsidR="00421DF1" w:rsidRDefault="00421DF1">
            <w:pPr>
              <w:jc w:val="center"/>
              <w:rPr>
                <w:rFonts w:ascii="Calibri" w:eastAsia="Times New Roman" w:hAnsi="Calibri" w:cs="Calibri"/>
                <w:color w:val="000000"/>
              </w:rPr>
            </w:pPr>
            <w:r>
              <w:rPr>
                <w:rFonts w:ascii="Calibri" w:eastAsia="Times New Roman" w:hAnsi="Calibri" w:cs="Calibri"/>
                <w:color w:val="000000"/>
              </w:rPr>
              <w:t>Winter 2019</w:t>
            </w:r>
          </w:p>
        </w:tc>
      </w:tr>
    </w:tbl>
    <w:p w14:paraId="0884AE7B" w14:textId="77777777" w:rsidR="00421DF1" w:rsidRDefault="00421DF1" w:rsidP="00421DF1">
      <w:pPr>
        <w:spacing w:line="240" w:lineRule="auto"/>
        <w:rPr>
          <w:rFonts w:eastAsiaTheme="minorEastAsia" w:cstheme="minorBidi"/>
          <w:sz w:val="22"/>
          <w:szCs w:val="22"/>
        </w:rPr>
      </w:pPr>
    </w:p>
    <w:p w14:paraId="65265C81" w14:textId="77777777" w:rsidR="00421DF1" w:rsidRDefault="00421DF1" w:rsidP="00421DF1">
      <w:pPr>
        <w:spacing w:line="240" w:lineRule="auto"/>
        <w:rPr>
          <w:rFonts w:eastAsiaTheme="minorEastAsia"/>
          <w:sz w:val="20"/>
          <w:szCs w:val="20"/>
        </w:rPr>
      </w:pPr>
      <w:r>
        <w:rPr>
          <w:rFonts w:eastAsiaTheme="minorEastAsia"/>
        </w:rPr>
        <w:t>Meetings are 2:30 – 4:00 in the Building 12 Board Room.</w:t>
      </w:r>
    </w:p>
    <w:p w14:paraId="0BB7A712" w14:textId="77777777" w:rsidR="00421DF1" w:rsidRDefault="00421DF1" w:rsidP="00421DF1">
      <w:pPr>
        <w:rPr>
          <w:rFonts w:cstheme="minorHAnsi"/>
          <w:sz w:val="22"/>
          <w:szCs w:val="22"/>
        </w:rPr>
      </w:pPr>
    </w:p>
    <w:p w14:paraId="19E2282A" w14:textId="26F30D63" w:rsidR="00421DF1" w:rsidRDefault="00421DF1" w:rsidP="00421DF1">
      <w:pPr>
        <w:rPr>
          <w:rFonts w:cstheme="minorHAnsi"/>
        </w:rPr>
      </w:pPr>
      <w:r>
        <w:rPr>
          <w:rFonts w:cstheme="minorHAnsi"/>
        </w:rPr>
        <w:t>Non-ctcLink Catalog Items include Course Outcomes</w:t>
      </w:r>
      <w:r w:rsidR="00525F32">
        <w:rPr>
          <w:rFonts w:cstheme="minorHAnsi"/>
        </w:rPr>
        <w:t xml:space="preserve"> and applicability to degree requirements (e.g. </w:t>
      </w:r>
      <w:r w:rsidR="008B069F">
        <w:rPr>
          <w:rFonts w:cstheme="minorHAnsi"/>
        </w:rPr>
        <w:t xml:space="preserve">Basic Skills, Distribution, </w:t>
      </w:r>
      <w:proofErr w:type="spellStart"/>
      <w:r w:rsidR="008B069F">
        <w:rPr>
          <w:rFonts w:cstheme="minorHAnsi"/>
        </w:rPr>
        <w:t>etc</w:t>
      </w:r>
      <w:proofErr w:type="spellEnd"/>
      <w:r w:rsidR="008B069F">
        <w:rPr>
          <w:rFonts w:cstheme="minorHAnsi"/>
        </w:rPr>
        <w:t>)</w:t>
      </w:r>
      <w:r w:rsidR="00E65094">
        <w:rPr>
          <w:rFonts w:cstheme="minorHAnsi"/>
        </w:rPr>
        <w:t>.</w:t>
      </w:r>
    </w:p>
    <w:p w14:paraId="5555698D" w14:textId="77777777" w:rsidR="00E65094" w:rsidRDefault="00E65094" w:rsidP="00421DF1">
      <w:pPr>
        <w:rPr>
          <w:rFonts w:cstheme="minorHAnsi"/>
        </w:rPr>
      </w:pPr>
    </w:p>
    <w:p w14:paraId="10337D36" w14:textId="59FEF982" w:rsidR="00421DF1" w:rsidRDefault="00421DF1" w:rsidP="00421DF1">
      <w:pPr>
        <w:rPr>
          <w:rFonts w:cstheme="minorHAnsi"/>
        </w:rPr>
      </w:pPr>
      <w:r>
        <w:rPr>
          <w:rFonts w:cstheme="minorHAnsi"/>
        </w:rPr>
        <w:t>In the event of a late proposal involving changes to ctcLink Catalog items, the Program/Department develops a plan with buy-in from Department/Program Chair, Dean, Dean’s Assistant, Associate Registrar; Administrative Operations Coordinator (Division); Curriculum Committee Administrative Co-Chair, Curriculum Committee Chair.</w:t>
      </w:r>
    </w:p>
    <w:p w14:paraId="25B6D801" w14:textId="77777777" w:rsidR="00E65094" w:rsidRDefault="00E65094" w:rsidP="00421DF1">
      <w:pPr>
        <w:rPr>
          <w:rFonts w:cstheme="minorHAnsi"/>
        </w:rPr>
      </w:pPr>
    </w:p>
    <w:p w14:paraId="22573D50" w14:textId="77777777" w:rsidR="00421DF1" w:rsidRDefault="00421DF1" w:rsidP="00421DF1">
      <w:pPr>
        <w:rPr>
          <w:rFonts w:cstheme="minorHAnsi"/>
        </w:rPr>
      </w:pPr>
      <w:proofErr w:type="gramStart"/>
      <w:r>
        <w:rPr>
          <w:rFonts w:cstheme="minorHAnsi"/>
        </w:rPr>
        <w:t>ctcLink</w:t>
      </w:r>
      <w:proofErr w:type="gramEnd"/>
      <w:r>
        <w:rPr>
          <w:rFonts w:cstheme="minorHAnsi"/>
        </w:rPr>
        <w:t xml:space="preserve"> Catalog Implementation Dates based on SBCTC Class Construction Schedule:</w:t>
      </w:r>
      <w:r>
        <w:rPr>
          <w:rFonts w:cstheme="minorHAnsi"/>
        </w:rPr>
        <w:tab/>
      </w:r>
    </w:p>
    <w:p w14:paraId="07D7DE7D" w14:textId="77777777" w:rsidR="00421DF1" w:rsidRDefault="00421DF1" w:rsidP="00421DF1">
      <w:pPr>
        <w:rPr>
          <w:rFonts w:cstheme="minorHAnsi"/>
        </w:rPr>
      </w:pPr>
      <w:r>
        <w:rPr>
          <w:rFonts w:cstheme="minorHAnsi"/>
        </w:rPr>
        <w:tab/>
      </w:r>
      <w:r>
        <w:rPr>
          <w:rFonts w:cstheme="minorHAnsi"/>
        </w:rPr>
        <w:tab/>
      </w:r>
      <w:r>
        <w:rPr>
          <w:rFonts w:cstheme="minorHAnsi"/>
        </w:rPr>
        <w:tab/>
      </w:r>
      <w:r>
        <w:rPr>
          <w:rFonts w:cstheme="minorHAnsi"/>
        </w:rPr>
        <w:tab/>
      </w:r>
    </w:p>
    <w:p w14:paraId="7F7F0C44"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ab/>
        <w:t>Spring 2018</w:t>
      </w:r>
      <w:r>
        <w:rPr>
          <w:rFonts w:cstheme="minorHAnsi"/>
        </w:rPr>
        <w:tab/>
        <w:t>Summer 2018</w:t>
      </w:r>
      <w:r>
        <w:rPr>
          <w:rFonts w:cstheme="minorHAnsi"/>
        </w:rPr>
        <w:tab/>
      </w:r>
      <w:proofErr w:type="gramStart"/>
      <w:r>
        <w:rPr>
          <w:rFonts w:cstheme="minorHAnsi"/>
        </w:rPr>
        <w:t>Fall</w:t>
      </w:r>
      <w:proofErr w:type="gramEnd"/>
      <w:r>
        <w:rPr>
          <w:rFonts w:cstheme="minorHAnsi"/>
        </w:rPr>
        <w:t xml:space="preserve"> 2018</w:t>
      </w:r>
      <w:r>
        <w:rPr>
          <w:rFonts w:cstheme="minorHAnsi"/>
        </w:rPr>
        <w:tab/>
        <w:t>Winter 2019</w:t>
      </w:r>
      <w:r>
        <w:rPr>
          <w:rFonts w:cstheme="minorHAnsi"/>
        </w:rPr>
        <w:tab/>
        <w:t>Spring 2019</w:t>
      </w:r>
    </w:p>
    <w:p w14:paraId="48068902"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Start Building Classes</w:t>
      </w:r>
      <w:r>
        <w:rPr>
          <w:rFonts w:cstheme="minorHAnsi"/>
        </w:rPr>
        <w:tab/>
        <w:t>12/1/2017</w:t>
      </w:r>
      <w:r>
        <w:rPr>
          <w:rFonts w:cstheme="minorHAnsi"/>
        </w:rPr>
        <w:tab/>
        <w:t>3/1/2018</w:t>
      </w:r>
      <w:r>
        <w:rPr>
          <w:rFonts w:cstheme="minorHAnsi"/>
        </w:rPr>
        <w:tab/>
        <w:t>3/1/2018</w:t>
      </w:r>
      <w:r>
        <w:rPr>
          <w:rFonts w:cstheme="minorHAnsi"/>
        </w:rPr>
        <w:tab/>
        <w:t>7/2/2018</w:t>
      </w:r>
      <w:r>
        <w:rPr>
          <w:rFonts w:cstheme="minorHAnsi"/>
        </w:rPr>
        <w:tab/>
        <w:t>11/5/2018</w:t>
      </w:r>
    </w:p>
    <w:p w14:paraId="3DC2F8C1" w14:textId="77777777" w:rsidR="00421DF1" w:rsidRDefault="00421DF1" w:rsidP="00421DF1">
      <w:pPr>
        <w:tabs>
          <w:tab w:val="left" w:pos="2160"/>
          <w:tab w:val="left" w:pos="3600"/>
          <w:tab w:val="left" w:pos="5040"/>
          <w:tab w:val="left" w:pos="6390"/>
          <w:tab w:val="left" w:pos="7920"/>
        </w:tabs>
        <w:rPr>
          <w:rFonts w:cstheme="minorHAnsi"/>
        </w:rPr>
      </w:pPr>
      <w:r>
        <w:rPr>
          <w:rFonts w:cstheme="minorHAnsi"/>
        </w:rPr>
        <w:t>Schedule goes live</w:t>
      </w:r>
      <w:r>
        <w:rPr>
          <w:rFonts w:cstheme="minorHAnsi"/>
        </w:rPr>
        <w:tab/>
        <w:t>1/1/2018</w:t>
      </w:r>
      <w:r>
        <w:rPr>
          <w:rFonts w:cstheme="minorHAnsi"/>
        </w:rPr>
        <w:tab/>
        <w:t>4/1/2018</w:t>
      </w:r>
      <w:r>
        <w:rPr>
          <w:rFonts w:cstheme="minorHAnsi"/>
        </w:rPr>
        <w:tab/>
        <w:t>4/1/2018</w:t>
      </w:r>
      <w:r>
        <w:rPr>
          <w:rFonts w:cstheme="minorHAnsi"/>
        </w:rPr>
        <w:tab/>
        <w:t>10/1/2018</w:t>
      </w:r>
      <w:r>
        <w:rPr>
          <w:rFonts w:cstheme="minorHAnsi"/>
        </w:rPr>
        <w:tab/>
        <w:t>1/1/2019</w:t>
      </w:r>
    </w:p>
    <w:p w14:paraId="15CFEA47" w14:textId="77777777" w:rsidR="00421DF1" w:rsidRPr="00B618AB" w:rsidRDefault="00421DF1" w:rsidP="002B20F0"/>
    <w:sectPr w:rsidR="00421DF1" w:rsidRPr="00B61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C50C" w14:textId="77777777" w:rsidR="003F6D18" w:rsidRDefault="003F6D18" w:rsidP="00545424">
      <w:pPr>
        <w:spacing w:line="240" w:lineRule="auto"/>
      </w:pPr>
      <w:r>
        <w:separator/>
      </w:r>
    </w:p>
  </w:endnote>
  <w:endnote w:type="continuationSeparator" w:id="0">
    <w:p w14:paraId="70E20754" w14:textId="77777777" w:rsidR="003F6D18" w:rsidRDefault="003F6D18" w:rsidP="00545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49BE70D6" w:rsidR="00674A17" w:rsidRPr="00545424" w:rsidRDefault="00674A17" w:rsidP="00545424">
    <w:pPr>
      <w:pStyle w:val="Footer"/>
      <w:jc w:val="right"/>
      <w:rPr>
        <w:sz w:val="20"/>
      </w:rPr>
    </w:pPr>
    <w:proofErr w:type="gramStart"/>
    <w:r>
      <w:rPr>
        <w:sz w:val="20"/>
      </w:rPr>
      <w:t>rev</w:t>
    </w:r>
    <w:proofErr w:type="gramEnd"/>
    <w:r>
      <w:rPr>
        <w:sz w:val="20"/>
      </w:rPr>
      <w:t xml:space="preserve"> 2/5/2018</w:t>
    </w:r>
    <w:r>
      <w:ptab w:relativeTo="margin" w:alignment="right" w:leader="none"/>
    </w:r>
    <w:r w:rsidRPr="001635B1">
      <w:rPr>
        <w:sz w:val="20"/>
      </w:rPr>
      <w:t xml:space="preserve"> </w:t>
    </w:r>
    <w:r w:rsidRPr="008C29F4">
      <w:rPr>
        <w:sz w:val="20"/>
      </w:rPr>
      <w:t xml:space="preserve">Page </w:t>
    </w:r>
    <w:r w:rsidRPr="008C29F4">
      <w:rPr>
        <w:rStyle w:val="PageNumber"/>
        <w:sz w:val="20"/>
      </w:rPr>
      <w:fldChar w:fldCharType="begin"/>
    </w:r>
    <w:r w:rsidRPr="008C29F4">
      <w:rPr>
        <w:rStyle w:val="PageNumber"/>
        <w:sz w:val="20"/>
      </w:rPr>
      <w:instrText xml:space="preserve"> PAGE </w:instrText>
    </w:r>
    <w:r w:rsidRPr="008C29F4">
      <w:rPr>
        <w:rStyle w:val="PageNumber"/>
        <w:sz w:val="20"/>
      </w:rPr>
      <w:fldChar w:fldCharType="separate"/>
    </w:r>
    <w:r w:rsidR="00E65094">
      <w:rPr>
        <w:rStyle w:val="PageNumber"/>
        <w:noProof/>
        <w:sz w:val="20"/>
      </w:rPr>
      <w:t>8</w:t>
    </w:r>
    <w:r w:rsidRPr="008C29F4">
      <w:rPr>
        <w:rStyle w:val="PageNumber"/>
        <w:sz w:val="20"/>
      </w:rPr>
      <w:fldChar w:fldCharType="end"/>
    </w:r>
    <w:r w:rsidRPr="008C29F4">
      <w:rPr>
        <w:rStyle w:val="PageNumber"/>
        <w:sz w:val="20"/>
      </w:rPr>
      <w:t xml:space="preserve"> of </w:t>
    </w:r>
    <w:r w:rsidRPr="008C29F4">
      <w:rPr>
        <w:rStyle w:val="PageNumber"/>
        <w:sz w:val="20"/>
      </w:rPr>
      <w:fldChar w:fldCharType="begin"/>
    </w:r>
    <w:r w:rsidRPr="008C29F4">
      <w:rPr>
        <w:rStyle w:val="PageNumber"/>
        <w:sz w:val="20"/>
      </w:rPr>
      <w:instrText xml:space="preserve"> NUMPAGES </w:instrText>
    </w:r>
    <w:r w:rsidRPr="008C29F4">
      <w:rPr>
        <w:rStyle w:val="PageNumber"/>
        <w:sz w:val="20"/>
      </w:rPr>
      <w:fldChar w:fldCharType="separate"/>
    </w:r>
    <w:r w:rsidR="00E65094">
      <w:rPr>
        <w:rStyle w:val="PageNumber"/>
        <w:noProof/>
        <w:sz w:val="20"/>
      </w:rPr>
      <w:t>9</w:t>
    </w:r>
    <w:r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4B3DC" w14:textId="77777777" w:rsidR="003F6D18" w:rsidRDefault="003F6D18" w:rsidP="00545424">
      <w:pPr>
        <w:spacing w:line="240" w:lineRule="auto"/>
      </w:pPr>
      <w:r>
        <w:separator/>
      </w:r>
    </w:p>
  </w:footnote>
  <w:footnote w:type="continuationSeparator" w:id="0">
    <w:p w14:paraId="3ED5BDC9" w14:textId="77777777" w:rsidR="003F6D18" w:rsidRDefault="003F6D18" w:rsidP="00545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05F05"/>
    <w:multiLevelType w:val="hybridMultilevel"/>
    <w:tmpl w:val="2602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B7C59"/>
    <w:multiLevelType w:val="hybridMultilevel"/>
    <w:tmpl w:val="CCE27A9A"/>
    <w:lvl w:ilvl="0" w:tplc="16785B2A">
      <w:start w:val="1"/>
      <w:numFmt w:val="decimal"/>
      <w:lvlText w:val="%1."/>
      <w:lvlJc w:val="left"/>
      <w:pPr>
        <w:ind w:left="720" w:hanging="360"/>
      </w:pPr>
      <w:rPr>
        <w:rFonts w:hint="default"/>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1"/>
  </w:num>
  <w:num w:numId="4">
    <w:abstractNumId w:val="8"/>
  </w:num>
  <w:num w:numId="5">
    <w:abstractNumId w:val="3"/>
  </w:num>
  <w:num w:numId="6">
    <w:abstractNumId w:val="5"/>
  </w:num>
  <w:num w:numId="7">
    <w:abstractNumId w:val="6"/>
  </w:num>
  <w:num w:numId="8">
    <w:abstractNumId w:val="1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1C3D"/>
    <w:rsid w:val="00006249"/>
    <w:rsid w:val="000250AB"/>
    <w:rsid w:val="00032134"/>
    <w:rsid w:val="00037AED"/>
    <w:rsid w:val="0004673A"/>
    <w:rsid w:val="00077C26"/>
    <w:rsid w:val="000940A2"/>
    <w:rsid w:val="000B2DEB"/>
    <w:rsid w:val="000C309D"/>
    <w:rsid w:val="000D5F55"/>
    <w:rsid w:val="000E2907"/>
    <w:rsid w:val="00114605"/>
    <w:rsid w:val="00121752"/>
    <w:rsid w:val="00125E0B"/>
    <w:rsid w:val="00126AF1"/>
    <w:rsid w:val="00146052"/>
    <w:rsid w:val="001504E7"/>
    <w:rsid w:val="0017137A"/>
    <w:rsid w:val="00175102"/>
    <w:rsid w:val="00185D14"/>
    <w:rsid w:val="001900E4"/>
    <w:rsid w:val="00196AC8"/>
    <w:rsid w:val="001A11C8"/>
    <w:rsid w:val="001A4BDC"/>
    <w:rsid w:val="001B617A"/>
    <w:rsid w:val="001C3F19"/>
    <w:rsid w:val="001D3F4D"/>
    <w:rsid w:val="00216E3F"/>
    <w:rsid w:val="00224ACE"/>
    <w:rsid w:val="0023217B"/>
    <w:rsid w:val="002329F0"/>
    <w:rsid w:val="002402B9"/>
    <w:rsid w:val="00241B6B"/>
    <w:rsid w:val="00253D10"/>
    <w:rsid w:val="00264840"/>
    <w:rsid w:val="00264F8A"/>
    <w:rsid w:val="00291E83"/>
    <w:rsid w:val="00297E9B"/>
    <w:rsid w:val="002B20F0"/>
    <w:rsid w:val="002D6907"/>
    <w:rsid w:val="002D7672"/>
    <w:rsid w:val="002E6BE6"/>
    <w:rsid w:val="002E708C"/>
    <w:rsid w:val="002E7CEB"/>
    <w:rsid w:val="0030349B"/>
    <w:rsid w:val="00314567"/>
    <w:rsid w:val="00322AF5"/>
    <w:rsid w:val="0032382A"/>
    <w:rsid w:val="00323854"/>
    <w:rsid w:val="00330552"/>
    <w:rsid w:val="003406EC"/>
    <w:rsid w:val="003449AF"/>
    <w:rsid w:val="003478B2"/>
    <w:rsid w:val="00352C02"/>
    <w:rsid w:val="00352C37"/>
    <w:rsid w:val="00365755"/>
    <w:rsid w:val="003725BE"/>
    <w:rsid w:val="00372940"/>
    <w:rsid w:val="0037392E"/>
    <w:rsid w:val="00374572"/>
    <w:rsid w:val="00390737"/>
    <w:rsid w:val="00393CD0"/>
    <w:rsid w:val="00397F09"/>
    <w:rsid w:val="003A342B"/>
    <w:rsid w:val="003A6C22"/>
    <w:rsid w:val="003E7945"/>
    <w:rsid w:val="003F1A01"/>
    <w:rsid w:val="003F6D18"/>
    <w:rsid w:val="00402FE7"/>
    <w:rsid w:val="00405F20"/>
    <w:rsid w:val="00421DF1"/>
    <w:rsid w:val="00442862"/>
    <w:rsid w:val="0044684B"/>
    <w:rsid w:val="00461716"/>
    <w:rsid w:val="00461DC7"/>
    <w:rsid w:val="004649A5"/>
    <w:rsid w:val="00474055"/>
    <w:rsid w:val="004A4DEC"/>
    <w:rsid w:val="004A5507"/>
    <w:rsid w:val="004A6DE9"/>
    <w:rsid w:val="004A6F21"/>
    <w:rsid w:val="004B7B3F"/>
    <w:rsid w:val="004D076C"/>
    <w:rsid w:val="004D0C57"/>
    <w:rsid w:val="004D3AE2"/>
    <w:rsid w:val="004F73D3"/>
    <w:rsid w:val="00500ACF"/>
    <w:rsid w:val="00502A89"/>
    <w:rsid w:val="005061C1"/>
    <w:rsid w:val="0051125E"/>
    <w:rsid w:val="00512F75"/>
    <w:rsid w:val="00513DFC"/>
    <w:rsid w:val="005220E2"/>
    <w:rsid w:val="0052463C"/>
    <w:rsid w:val="005253CC"/>
    <w:rsid w:val="00525F32"/>
    <w:rsid w:val="00526ECD"/>
    <w:rsid w:val="00535233"/>
    <w:rsid w:val="00536A41"/>
    <w:rsid w:val="00545424"/>
    <w:rsid w:val="00546D03"/>
    <w:rsid w:val="00550E4E"/>
    <w:rsid w:val="005551BF"/>
    <w:rsid w:val="0056484A"/>
    <w:rsid w:val="005735EF"/>
    <w:rsid w:val="005739C3"/>
    <w:rsid w:val="005B597F"/>
    <w:rsid w:val="0060081E"/>
    <w:rsid w:val="006113BB"/>
    <w:rsid w:val="00612DAC"/>
    <w:rsid w:val="0061577B"/>
    <w:rsid w:val="00615B98"/>
    <w:rsid w:val="00620DF7"/>
    <w:rsid w:val="0062134A"/>
    <w:rsid w:val="00640B63"/>
    <w:rsid w:val="00643F1C"/>
    <w:rsid w:val="00651D33"/>
    <w:rsid w:val="006552C5"/>
    <w:rsid w:val="006745E0"/>
    <w:rsid w:val="00674A17"/>
    <w:rsid w:val="006A783E"/>
    <w:rsid w:val="006D0A6A"/>
    <w:rsid w:val="006D7E69"/>
    <w:rsid w:val="006E2993"/>
    <w:rsid w:val="006E69DC"/>
    <w:rsid w:val="006F23AE"/>
    <w:rsid w:val="006F28F3"/>
    <w:rsid w:val="00706B83"/>
    <w:rsid w:val="00707E0E"/>
    <w:rsid w:val="0071182B"/>
    <w:rsid w:val="00714710"/>
    <w:rsid w:val="00724972"/>
    <w:rsid w:val="00726A65"/>
    <w:rsid w:val="007371E0"/>
    <w:rsid w:val="00762143"/>
    <w:rsid w:val="007655B1"/>
    <w:rsid w:val="007853EE"/>
    <w:rsid w:val="00790C33"/>
    <w:rsid w:val="0079209F"/>
    <w:rsid w:val="0079659A"/>
    <w:rsid w:val="00797DA4"/>
    <w:rsid w:val="007A5A2A"/>
    <w:rsid w:val="007B41E6"/>
    <w:rsid w:val="007B65F0"/>
    <w:rsid w:val="007C0733"/>
    <w:rsid w:val="007C2A3F"/>
    <w:rsid w:val="007D25C6"/>
    <w:rsid w:val="007D4C37"/>
    <w:rsid w:val="007D6CF2"/>
    <w:rsid w:val="007E0787"/>
    <w:rsid w:val="00806EDE"/>
    <w:rsid w:val="00815D03"/>
    <w:rsid w:val="0081649D"/>
    <w:rsid w:val="00832498"/>
    <w:rsid w:val="00872682"/>
    <w:rsid w:val="008728EE"/>
    <w:rsid w:val="008750B9"/>
    <w:rsid w:val="00875BB7"/>
    <w:rsid w:val="00892E07"/>
    <w:rsid w:val="0089791E"/>
    <w:rsid w:val="008A1095"/>
    <w:rsid w:val="008B069F"/>
    <w:rsid w:val="008B367A"/>
    <w:rsid w:val="008C306F"/>
    <w:rsid w:val="008D2936"/>
    <w:rsid w:val="008D5631"/>
    <w:rsid w:val="008E0E0F"/>
    <w:rsid w:val="008F10A4"/>
    <w:rsid w:val="008F3743"/>
    <w:rsid w:val="009028B1"/>
    <w:rsid w:val="009214E6"/>
    <w:rsid w:val="009358EB"/>
    <w:rsid w:val="009520EA"/>
    <w:rsid w:val="009704A4"/>
    <w:rsid w:val="009771C6"/>
    <w:rsid w:val="00980790"/>
    <w:rsid w:val="009A37EC"/>
    <w:rsid w:val="009A3D02"/>
    <w:rsid w:val="009B201A"/>
    <w:rsid w:val="009B7928"/>
    <w:rsid w:val="009C0962"/>
    <w:rsid w:val="009C4805"/>
    <w:rsid w:val="009D09E7"/>
    <w:rsid w:val="009E279E"/>
    <w:rsid w:val="009E32B6"/>
    <w:rsid w:val="009F2C16"/>
    <w:rsid w:val="00A02D3A"/>
    <w:rsid w:val="00A254CA"/>
    <w:rsid w:val="00A26071"/>
    <w:rsid w:val="00A27E63"/>
    <w:rsid w:val="00A333E1"/>
    <w:rsid w:val="00A40C8B"/>
    <w:rsid w:val="00A61909"/>
    <w:rsid w:val="00A62F2C"/>
    <w:rsid w:val="00A64C5D"/>
    <w:rsid w:val="00A736C3"/>
    <w:rsid w:val="00A91BF3"/>
    <w:rsid w:val="00A9795B"/>
    <w:rsid w:val="00AA5BDD"/>
    <w:rsid w:val="00AB3A3A"/>
    <w:rsid w:val="00AB61EC"/>
    <w:rsid w:val="00AC4BC7"/>
    <w:rsid w:val="00AD04B7"/>
    <w:rsid w:val="00AD473C"/>
    <w:rsid w:val="00B12CED"/>
    <w:rsid w:val="00B137B2"/>
    <w:rsid w:val="00B16F5A"/>
    <w:rsid w:val="00B25E06"/>
    <w:rsid w:val="00B600A4"/>
    <w:rsid w:val="00B618AB"/>
    <w:rsid w:val="00B61BDC"/>
    <w:rsid w:val="00B73958"/>
    <w:rsid w:val="00B81241"/>
    <w:rsid w:val="00B8540E"/>
    <w:rsid w:val="00B8658F"/>
    <w:rsid w:val="00B8699A"/>
    <w:rsid w:val="00B87DA0"/>
    <w:rsid w:val="00B87E5B"/>
    <w:rsid w:val="00B93A16"/>
    <w:rsid w:val="00BA432D"/>
    <w:rsid w:val="00BA7F0A"/>
    <w:rsid w:val="00BD1925"/>
    <w:rsid w:val="00BE2E60"/>
    <w:rsid w:val="00BE30B6"/>
    <w:rsid w:val="00BE5BBD"/>
    <w:rsid w:val="00BE6D5D"/>
    <w:rsid w:val="00C146C2"/>
    <w:rsid w:val="00C16F75"/>
    <w:rsid w:val="00C22E9C"/>
    <w:rsid w:val="00C232FE"/>
    <w:rsid w:val="00C27BA6"/>
    <w:rsid w:val="00C30D27"/>
    <w:rsid w:val="00C332C6"/>
    <w:rsid w:val="00C34E72"/>
    <w:rsid w:val="00C47ACD"/>
    <w:rsid w:val="00C6349D"/>
    <w:rsid w:val="00C64774"/>
    <w:rsid w:val="00C652EB"/>
    <w:rsid w:val="00C751E6"/>
    <w:rsid w:val="00C85E50"/>
    <w:rsid w:val="00C86935"/>
    <w:rsid w:val="00C90282"/>
    <w:rsid w:val="00C92245"/>
    <w:rsid w:val="00C948F6"/>
    <w:rsid w:val="00C97B60"/>
    <w:rsid w:val="00CA663A"/>
    <w:rsid w:val="00CB3990"/>
    <w:rsid w:val="00CD4BF5"/>
    <w:rsid w:val="00D00C00"/>
    <w:rsid w:val="00D20CDE"/>
    <w:rsid w:val="00D22399"/>
    <w:rsid w:val="00D3023E"/>
    <w:rsid w:val="00D3228B"/>
    <w:rsid w:val="00D4287F"/>
    <w:rsid w:val="00D53FAA"/>
    <w:rsid w:val="00D64CA3"/>
    <w:rsid w:val="00D77F49"/>
    <w:rsid w:val="00D803D3"/>
    <w:rsid w:val="00D97429"/>
    <w:rsid w:val="00DA0D23"/>
    <w:rsid w:val="00DB1D28"/>
    <w:rsid w:val="00DB3A06"/>
    <w:rsid w:val="00DD1D14"/>
    <w:rsid w:val="00DD2925"/>
    <w:rsid w:val="00DE249A"/>
    <w:rsid w:val="00DF071D"/>
    <w:rsid w:val="00E00E88"/>
    <w:rsid w:val="00E205C3"/>
    <w:rsid w:val="00E31832"/>
    <w:rsid w:val="00E323D2"/>
    <w:rsid w:val="00E43D94"/>
    <w:rsid w:val="00E564AD"/>
    <w:rsid w:val="00E65094"/>
    <w:rsid w:val="00E65CAB"/>
    <w:rsid w:val="00E87F8A"/>
    <w:rsid w:val="00E90A0A"/>
    <w:rsid w:val="00E95F36"/>
    <w:rsid w:val="00E97594"/>
    <w:rsid w:val="00EA0899"/>
    <w:rsid w:val="00EA1712"/>
    <w:rsid w:val="00EA5047"/>
    <w:rsid w:val="00EB19E2"/>
    <w:rsid w:val="00EB6FBF"/>
    <w:rsid w:val="00EC18A4"/>
    <w:rsid w:val="00EC581A"/>
    <w:rsid w:val="00EC629C"/>
    <w:rsid w:val="00ED1D2B"/>
    <w:rsid w:val="00ED40DF"/>
    <w:rsid w:val="00ED4770"/>
    <w:rsid w:val="00EF07B4"/>
    <w:rsid w:val="00EF4DE6"/>
    <w:rsid w:val="00F0336F"/>
    <w:rsid w:val="00F0356F"/>
    <w:rsid w:val="00F16050"/>
    <w:rsid w:val="00F17FB2"/>
    <w:rsid w:val="00F22740"/>
    <w:rsid w:val="00F22FF9"/>
    <w:rsid w:val="00F404ED"/>
    <w:rsid w:val="00F41258"/>
    <w:rsid w:val="00F63DEF"/>
    <w:rsid w:val="00F650A9"/>
    <w:rsid w:val="00F7741C"/>
    <w:rsid w:val="00F81022"/>
    <w:rsid w:val="00F876AA"/>
    <w:rsid w:val="00FB1121"/>
    <w:rsid w:val="00FB1A29"/>
    <w:rsid w:val="00FB699E"/>
    <w:rsid w:val="00FE1C58"/>
    <w:rsid w:val="00FE7A96"/>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table" w:styleId="TableGridLight">
    <w:name w:val="Grid Table Light"/>
    <w:basedOn w:val="TableNormal"/>
    <w:uiPriority w:val="40"/>
    <w:rsid w:val="00E65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399404310">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62411843">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sChild>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425617870">
          <w:marLeft w:val="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100489237">
          <w:marLeft w:val="72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sChild>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3626-8266-4217-92E7-BBB6031DD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43B7D-537C-4F9B-AE38-9539AAE464BB}">
  <ds:schemaRefs>
    <ds:schemaRef ds:uri="http://schemas.microsoft.com/sharepoint/v3/contenttype/forms"/>
  </ds:schemaRefs>
</ds:datastoreItem>
</file>

<file path=customXml/itemProps3.xml><?xml version="1.0" encoding="utf-8"?>
<ds:datastoreItem xmlns:ds="http://schemas.openxmlformats.org/officeDocument/2006/customXml" ds:itemID="{2AE7A24E-1D2F-42BB-A098-BE2E65F1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C1A78-E7E5-4B3A-AB58-EAA2B5BD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2018-02-14T18:35:00Z</cp:lastPrinted>
  <dcterms:created xsi:type="dcterms:W3CDTF">2019-10-11T02:16:00Z</dcterms:created>
  <dcterms:modified xsi:type="dcterms:W3CDTF">2019-12-03T22:23:00Z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