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6"/>
        </w:rPr>
      </w:pPr>
    </w:p>
    <w:p>
      <w:pPr>
        <w:spacing w:before="93"/>
        <w:ind w:left="2043" w:right="7489" w:hanging="840"/>
        <w:jc w:val="left"/>
        <w:rPr>
          <w:b/>
          <w:sz w:val="24"/>
        </w:rPr>
      </w:pPr>
      <w:r>
        <w:rPr/>
        <w:drawing>
          <wp:anchor distT="0" distB="0" distL="0" distR="0" allowOverlap="1" layoutInCell="1" locked="0" behindDoc="0" simplePos="0" relativeHeight="251658240">
            <wp:simplePos x="0" y="0"/>
            <wp:positionH relativeFrom="page">
              <wp:posOffset>3460115</wp:posOffset>
            </wp:positionH>
            <wp:positionV relativeFrom="paragraph">
              <wp:posOffset>-118289</wp:posOffset>
            </wp:positionV>
            <wp:extent cx="2400300" cy="710183"/>
            <wp:effectExtent l="0" t="0" r="0" b="0"/>
            <wp:wrapNone/>
            <wp:docPr id="1" name="image1.jpeg" descr="http://www.curricunet.com/tacoma/images/tacomaReportLogo.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00300" cy="710183"/>
                    </a:xfrm>
                    <a:prstGeom prst="rect">
                      <a:avLst/>
                    </a:prstGeom>
                  </pic:spPr>
                </pic:pic>
              </a:graphicData>
            </a:graphic>
          </wp:anchor>
        </w:drawing>
      </w:r>
      <w:r>
        <w:rPr>
          <w:b/>
          <w:sz w:val="24"/>
        </w:rPr>
        <w:t>Curriculum Committee Minutes</w:t>
      </w:r>
    </w:p>
    <w:p>
      <w:pPr>
        <w:pStyle w:val="BodyText"/>
        <w:rPr>
          <w:b/>
          <w:sz w:val="20"/>
        </w:rPr>
      </w:pPr>
    </w:p>
    <w:p>
      <w:pPr>
        <w:pStyle w:val="BodyText"/>
        <w:spacing w:before="10" w:after="1"/>
        <w:rPr>
          <w:b/>
          <w:sz w:val="10"/>
        </w:rPr>
      </w:pPr>
    </w:p>
    <w:tbl>
      <w:tblPr>
        <w:tblW w:w="0" w:type="auto"/>
        <w:jc w:val="left"/>
        <w:tblInd w:w="143"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top w:w="0" w:type="dxa"/>
          <w:left w:w="0" w:type="dxa"/>
          <w:bottom w:w="0" w:type="dxa"/>
          <w:right w:w="0" w:type="dxa"/>
        </w:tblCellMar>
        <w:tblLook w:val="01E0"/>
      </w:tblPr>
      <w:tblGrid>
        <w:gridCol w:w="3888"/>
        <w:gridCol w:w="522"/>
        <w:gridCol w:w="1730"/>
        <w:gridCol w:w="3576"/>
      </w:tblGrid>
      <w:tr>
        <w:trPr>
          <w:trHeight w:val="320" w:hRule="atLeast"/>
        </w:trPr>
        <w:tc>
          <w:tcPr>
            <w:tcW w:w="4410" w:type="dxa"/>
            <w:gridSpan w:val="2"/>
            <w:tcBorders>
              <w:left w:val="single" w:sz="6" w:space="0" w:color="EFEFEF"/>
              <w:bottom w:val="double" w:sz="2" w:space="0" w:color="9F9F9F"/>
              <w:right w:val="double" w:sz="2" w:space="0" w:color="9F9F9F"/>
            </w:tcBorders>
          </w:tcPr>
          <w:p>
            <w:pPr>
              <w:pStyle w:val="TableParagraph"/>
              <w:spacing w:before="17"/>
              <w:ind w:left="1430"/>
              <w:rPr>
                <w:b/>
                <w:sz w:val="24"/>
              </w:rPr>
            </w:pPr>
            <w:r>
              <w:rPr>
                <w:b/>
                <w:sz w:val="24"/>
              </w:rPr>
              <w:t>Meeting Date</w:t>
            </w:r>
          </w:p>
        </w:tc>
        <w:tc>
          <w:tcPr>
            <w:tcW w:w="5306" w:type="dxa"/>
            <w:gridSpan w:val="2"/>
            <w:tcBorders>
              <w:top w:val="double" w:sz="2" w:space="0" w:color="9F9F9F"/>
              <w:left w:val="double" w:sz="2" w:space="0" w:color="9F9F9F"/>
              <w:bottom w:val="double" w:sz="2" w:space="0" w:color="9F9F9F"/>
              <w:right w:val="double" w:sz="2" w:space="0" w:color="9F9F9F"/>
            </w:tcBorders>
          </w:tcPr>
          <w:p>
            <w:pPr>
              <w:pStyle w:val="TableParagraph"/>
              <w:spacing w:before="17"/>
              <w:ind w:left="1220"/>
              <w:rPr>
                <w:b/>
                <w:sz w:val="24"/>
              </w:rPr>
            </w:pPr>
            <w:r>
              <w:rPr>
                <w:b/>
                <w:sz w:val="24"/>
              </w:rPr>
              <w:t>Meeting Time &amp; Location</w:t>
            </w:r>
          </w:p>
        </w:tc>
      </w:tr>
      <w:tr>
        <w:trPr>
          <w:trHeight w:val="331" w:hRule="atLeast"/>
        </w:trPr>
        <w:tc>
          <w:tcPr>
            <w:tcW w:w="4410" w:type="dxa"/>
            <w:gridSpan w:val="2"/>
            <w:tcBorders>
              <w:top w:val="double" w:sz="2" w:space="0" w:color="9F9F9F"/>
              <w:left w:val="single" w:sz="6" w:space="0" w:color="EFEFEF"/>
              <w:bottom w:val="double" w:sz="2" w:space="0" w:color="9F9F9F"/>
              <w:right w:val="double" w:sz="2" w:space="0" w:color="9F9F9F"/>
            </w:tcBorders>
          </w:tcPr>
          <w:p>
            <w:pPr>
              <w:pStyle w:val="TableParagraph"/>
              <w:spacing w:before="18"/>
              <w:ind w:left="1041"/>
              <w:rPr>
                <w:sz w:val="24"/>
              </w:rPr>
            </w:pPr>
            <w:r>
              <w:rPr>
                <w:sz w:val="24"/>
              </w:rPr>
              <w:t>Monday April 3, 2017</w:t>
            </w:r>
          </w:p>
        </w:tc>
        <w:tc>
          <w:tcPr>
            <w:tcW w:w="5306" w:type="dxa"/>
            <w:gridSpan w:val="2"/>
            <w:tcBorders>
              <w:top w:val="double" w:sz="2" w:space="0" w:color="9F9F9F"/>
              <w:left w:val="double" w:sz="2" w:space="0" w:color="9F9F9F"/>
              <w:bottom w:val="single" w:sz="34" w:space="0" w:color="9F9F9F"/>
              <w:right w:val="double" w:sz="2" w:space="0" w:color="9F9F9F"/>
            </w:tcBorders>
          </w:tcPr>
          <w:p>
            <w:pPr>
              <w:pStyle w:val="TableParagraph"/>
              <w:spacing w:before="18"/>
              <w:ind w:left="872"/>
              <w:rPr>
                <w:sz w:val="24"/>
              </w:rPr>
            </w:pPr>
            <w:r>
              <w:rPr>
                <w:sz w:val="24"/>
              </w:rPr>
              <w:t>2:30 pm Board Room Building 12</w:t>
            </w:r>
          </w:p>
        </w:tc>
      </w:tr>
      <w:tr>
        <w:trPr>
          <w:trHeight w:val="330" w:hRule="atLeast"/>
        </w:trPr>
        <w:tc>
          <w:tcPr>
            <w:tcW w:w="3888" w:type="dxa"/>
            <w:tcBorders>
              <w:top w:val="double" w:sz="2" w:space="0" w:color="9F9F9F"/>
              <w:left w:val="single" w:sz="6" w:space="0" w:color="EFEFEF"/>
              <w:bottom w:val="double" w:sz="2" w:space="0" w:color="9F9F9F"/>
              <w:right w:val="double" w:sz="2" w:space="0" w:color="9F9F9F"/>
            </w:tcBorders>
          </w:tcPr>
          <w:p>
            <w:pPr>
              <w:pStyle w:val="TableParagraph"/>
              <w:spacing w:before="27"/>
              <w:ind w:left="954" w:right="980"/>
              <w:jc w:val="center"/>
              <w:rPr>
                <w:b/>
                <w:sz w:val="24"/>
              </w:rPr>
            </w:pPr>
            <w:r>
              <w:rPr>
                <w:b/>
                <w:sz w:val="24"/>
              </w:rPr>
              <w:t>Chair</w:t>
            </w:r>
          </w:p>
        </w:tc>
        <w:tc>
          <w:tcPr>
            <w:tcW w:w="2252" w:type="dxa"/>
            <w:gridSpan w:val="2"/>
            <w:tcBorders>
              <w:top w:val="triple" w:sz="6" w:space="0" w:color="9F9F9F"/>
              <w:left w:val="double" w:sz="2" w:space="0" w:color="9F9F9F"/>
              <w:bottom w:val="double" w:sz="2" w:space="0" w:color="9F9F9F"/>
              <w:right w:val="double" w:sz="2" w:space="0" w:color="9F9F9F"/>
            </w:tcBorders>
          </w:tcPr>
          <w:p>
            <w:pPr>
              <w:pStyle w:val="TableParagraph"/>
              <w:spacing w:before="27"/>
              <w:ind w:left="513"/>
              <w:rPr>
                <w:b/>
                <w:sz w:val="24"/>
              </w:rPr>
            </w:pPr>
            <w:r>
              <w:rPr>
                <w:b/>
                <w:sz w:val="24"/>
              </w:rPr>
              <w:t>Vice-Chair</w:t>
            </w:r>
          </w:p>
        </w:tc>
        <w:tc>
          <w:tcPr>
            <w:tcW w:w="3576" w:type="dxa"/>
            <w:tcBorders>
              <w:top w:val="single" w:sz="34" w:space="0" w:color="9F9F9F"/>
              <w:left w:val="double" w:sz="2" w:space="0" w:color="9F9F9F"/>
              <w:bottom w:val="double" w:sz="2" w:space="0" w:color="9F9F9F"/>
              <w:right w:val="double" w:sz="2" w:space="0" w:color="9F9F9F"/>
            </w:tcBorders>
          </w:tcPr>
          <w:p>
            <w:pPr>
              <w:pStyle w:val="TableParagraph"/>
              <w:spacing w:before="27"/>
              <w:ind w:left="674" w:right="654"/>
              <w:jc w:val="center"/>
              <w:rPr>
                <w:b/>
                <w:sz w:val="24"/>
              </w:rPr>
            </w:pPr>
            <w:r>
              <w:rPr>
                <w:b/>
                <w:sz w:val="24"/>
              </w:rPr>
              <w:t>Recording Scribe</w:t>
            </w:r>
          </w:p>
        </w:tc>
      </w:tr>
      <w:tr>
        <w:trPr>
          <w:trHeight w:val="889" w:hRule="atLeast"/>
        </w:trPr>
        <w:tc>
          <w:tcPr>
            <w:tcW w:w="3888" w:type="dxa"/>
            <w:tcBorders>
              <w:top w:val="double" w:sz="2" w:space="0" w:color="9F9F9F"/>
              <w:left w:val="single" w:sz="6" w:space="0" w:color="EFEFEF"/>
              <w:bottom w:val="triple" w:sz="6" w:space="0" w:color="9F9F9F"/>
              <w:right w:val="double" w:sz="2" w:space="0" w:color="9F9F9F"/>
            </w:tcBorders>
          </w:tcPr>
          <w:p>
            <w:pPr>
              <w:pStyle w:val="TableParagraph"/>
              <w:spacing w:before="7"/>
              <w:ind w:left="0"/>
              <w:rPr>
                <w:b/>
                <w:sz w:val="25"/>
              </w:rPr>
            </w:pPr>
          </w:p>
          <w:p>
            <w:pPr>
              <w:pStyle w:val="TableParagraph"/>
              <w:ind w:left="955" w:right="980"/>
              <w:jc w:val="center"/>
              <w:rPr>
                <w:sz w:val="24"/>
              </w:rPr>
            </w:pPr>
            <w:r>
              <w:rPr>
                <w:sz w:val="24"/>
              </w:rPr>
              <w:t>Barbara Peterson</w:t>
            </w:r>
          </w:p>
        </w:tc>
        <w:tc>
          <w:tcPr>
            <w:tcW w:w="2252" w:type="dxa"/>
            <w:gridSpan w:val="2"/>
            <w:tcBorders>
              <w:top w:val="double" w:sz="2" w:space="0" w:color="9F9F9F"/>
              <w:left w:val="double" w:sz="2" w:space="0" w:color="9F9F9F"/>
              <w:bottom w:val="triple" w:sz="6" w:space="0" w:color="9F9F9F"/>
              <w:right w:val="double" w:sz="2" w:space="0" w:color="9F9F9F"/>
            </w:tcBorders>
          </w:tcPr>
          <w:p>
            <w:pPr>
              <w:pStyle w:val="TableParagraph"/>
              <w:spacing w:before="7"/>
              <w:ind w:left="0"/>
              <w:rPr>
                <w:b/>
                <w:sz w:val="25"/>
              </w:rPr>
            </w:pPr>
          </w:p>
          <w:p>
            <w:pPr>
              <w:pStyle w:val="TableParagraph"/>
              <w:ind w:left="513"/>
              <w:rPr>
                <w:sz w:val="24"/>
              </w:rPr>
            </w:pPr>
            <w:r>
              <w:rPr>
                <w:sz w:val="24"/>
              </w:rPr>
              <w:t>Phil Hunter</w:t>
            </w:r>
          </w:p>
        </w:tc>
        <w:tc>
          <w:tcPr>
            <w:tcW w:w="3576" w:type="dxa"/>
            <w:tcBorders>
              <w:top w:val="double" w:sz="2" w:space="0" w:color="9F9F9F"/>
              <w:left w:val="double" w:sz="2" w:space="0" w:color="9F9F9F"/>
              <w:bottom w:val="triple" w:sz="6" w:space="0" w:color="9F9F9F"/>
              <w:right w:val="double" w:sz="2" w:space="0" w:color="9F9F9F"/>
            </w:tcBorders>
          </w:tcPr>
          <w:p>
            <w:pPr>
              <w:pStyle w:val="TableParagraph"/>
              <w:spacing w:before="7"/>
              <w:ind w:left="0"/>
              <w:rPr>
                <w:b/>
                <w:sz w:val="25"/>
              </w:rPr>
            </w:pPr>
          </w:p>
          <w:p>
            <w:pPr>
              <w:pStyle w:val="TableParagraph"/>
              <w:ind w:left="674" w:right="654"/>
              <w:jc w:val="center"/>
              <w:rPr>
                <w:sz w:val="24"/>
              </w:rPr>
            </w:pPr>
            <w:r>
              <w:rPr>
                <w:sz w:val="24"/>
              </w:rPr>
              <w:t>Darlene Rompogren</w:t>
            </w:r>
          </w:p>
        </w:tc>
      </w:tr>
      <w:tr>
        <w:trPr>
          <w:trHeight w:val="3371" w:hRule="atLeast"/>
        </w:trPr>
        <w:tc>
          <w:tcPr>
            <w:tcW w:w="9716" w:type="dxa"/>
            <w:gridSpan w:val="4"/>
            <w:tcBorders>
              <w:top w:val="triple" w:sz="6" w:space="0" w:color="9F9F9F"/>
              <w:left w:val="double" w:sz="2" w:space="0" w:color="EFEFEF"/>
              <w:bottom w:val="double" w:sz="2" w:space="0" w:color="9F9F9F"/>
              <w:right w:val="double" w:sz="2" w:space="0" w:color="EFEFEF"/>
            </w:tcBorders>
          </w:tcPr>
          <w:p>
            <w:pPr>
              <w:pStyle w:val="TableParagraph"/>
              <w:spacing w:before="33"/>
              <w:ind w:left="4053"/>
              <w:rPr>
                <w:b/>
                <w:sz w:val="24"/>
              </w:rPr>
            </w:pPr>
            <w:r>
              <w:rPr>
                <w:b/>
                <w:sz w:val="24"/>
              </w:rPr>
              <w:t>Agenda Items</w:t>
            </w:r>
          </w:p>
          <w:p>
            <w:pPr>
              <w:pStyle w:val="TableParagraph"/>
              <w:numPr>
                <w:ilvl w:val="0"/>
                <w:numId w:val="1"/>
              </w:numPr>
              <w:tabs>
                <w:tab w:pos="295" w:val="left" w:leader="none"/>
              </w:tabs>
              <w:spacing w:line="240" w:lineRule="auto" w:before="1" w:after="0"/>
              <w:ind w:left="25" w:right="294" w:firstLine="0"/>
              <w:jc w:val="left"/>
              <w:rPr>
                <w:sz w:val="24"/>
              </w:rPr>
            </w:pPr>
            <w:r>
              <w:rPr>
                <w:b/>
                <w:sz w:val="24"/>
              </w:rPr>
              <w:t>Members present: </w:t>
            </w:r>
            <w:r>
              <w:rPr>
                <w:sz w:val="24"/>
              </w:rPr>
              <w:t>Barbara Peterson, Dave Howard, Mike Mixdorf, Char Gore, Mary Jane Oberhofer, John Falskow, Greg Ferencko, Phil Hunter, Craig Cowden, Heather Gillanders, Jeff Calkins, Darlene Rompogren, Colleen Spezia, Jamie Traugott, Carroll Ferguson, Analea Brauburger. </w:t>
            </w:r>
            <w:r>
              <w:rPr>
                <w:b/>
                <w:sz w:val="24"/>
              </w:rPr>
              <w:t>Guests present: </w:t>
            </w:r>
            <w:r>
              <w:rPr>
                <w:sz w:val="24"/>
              </w:rPr>
              <w:t>Wendy Larsen, Bruno Arzola, Kristina Young, Liz Fortenbery, Yvonne Unnold, Katrina Taylor, Heather Cushman, Joseph Shannon, Ruth Lopes, Krista Fox, Andrew Cho, Katrina</w:t>
            </w:r>
            <w:r>
              <w:rPr>
                <w:spacing w:val="-7"/>
                <w:sz w:val="24"/>
              </w:rPr>
              <w:t> </w:t>
            </w:r>
            <w:r>
              <w:rPr>
                <w:sz w:val="24"/>
              </w:rPr>
              <w:t>Diller.</w:t>
            </w:r>
          </w:p>
          <w:p>
            <w:pPr>
              <w:pStyle w:val="TableParagraph"/>
              <w:ind w:left="0"/>
              <w:rPr>
                <w:b/>
                <w:sz w:val="24"/>
              </w:rPr>
            </w:pPr>
          </w:p>
          <w:p>
            <w:pPr>
              <w:pStyle w:val="TableParagraph"/>
              <w:numPr>
                <w:ilvl w:val="0"/>
                <w:numId w:val="1"/>
              </w:numPr>
              <w:tabs>
                <w:tab w:pos="294" w:val="left" w:leader="none"/>
              </w:tabs>
              <w:spacing w:line="240" w:lineRule="auto" w:before="0" w:after="0"/>
              <w:ind w:left="25" w:right="465" w:firstLine="0"/>
              <w:jc w:val="left"/>
              <w:rPr>
                <w:sz w:val="24"/>
              </w:rPr>
            </w:pPr>
            <w:r>
              <w:rPr>
                <w:b/>
                <w:sz w:val="24"/>
              </w:rPr>
              <w:t>Minutes from 3/6/17: Motion to approve: </w:t>
            </w:r>
            <w:r>
              <w:rPr>
                <w:sz w:val="24"/>
              </w:rPr>
              <w:t>Dave Howard. </w:t>
            </w:r>
            <w:r>
              <w:rPr>
                <w:b/>
                <w:sz w:val="24"/>
              </w:rPr>
              <w:t>Second: </w:t>
            </w:r>
            <w:r>
              <w:rPr>
                <w:sz w:val="24"/>
              </w:rPr>
              <w:t>Mike Mixdorf. The March minutes were approved without</w:t>
            </w:r>
            <w:r>
              <w:rPr>
                <w:spacing w:val="-4"/>
                <w:sz w:val="24"/>
              </w:rPr>
              <w:t> </w:t>
            </w:r>
            <w:r>
              <w:rPr>
                <w:sz w:val="24"/>
              </w:rPr>
              <w:t>changes.</w:t>
            </w:r>
          </w:p>
          <w:p>
            <w:pPr>
              <w:pStyle w:val="TableParagraph"/>
              <w:ind w:left="0"/>
              <w:rPr>
                <w:b/>
                <w:sz w:val="24"/>
              </w:rPr>
            </w:pPr>
          </w:p>
          <w:p>
            <w:pPr>
              <w:pStyle w:val="TableParagraph"/>
              <w:numPr>
                <w:ilvl w:val="0"/>
                <w:numId w:val="1"/>
              </w:numPr>
              <w:tabs>
                <w:tab w:pos="297" w:val="left" w:leader="none"/>
              </w:tabs>
              <w:spacing w:line="240" w:lineRule="auto" w:before="0" w:after="0"/>
              <w:ind w:left="296" w:right="0" w:hanging="272"/>
              <w:jc w:val="left"/>
              <w:rPr>
                <w:b/>
                <w:sz w:val="24"/>
              </w:rPr>
            </w:pPr>
            <w:r>
              <w:rPr>
                <w:b/>
                <w:sz w:val="24"/>
              </w:rPr>
              <w:t>Additional agenda items:</w:t>
            </w:r>
            <w:r>
              <w:rPr>
                <w:b/>
                <w:spacing w:val="64"/>
                <w:sz w:val="24"/>
              </w:rPr>
              <w:t> </w:t>
            </w:r>
            <w:r>
              <w:rPr>
                <w:b/>
                <w:sz w:val="24"/>
              </w:rPr>
              <w:t>None.</w:t>
            </w:r>
          </w:p>
        </w:tc>
      </w:tr>
      <w:tr>
        <w:trPr>
          <w:trHeight w:val="598" w:hRule="atLeast"/>
        </w:trPr>
        <w:tc>
          <w:tcPr>
            <w:tcW w:w="9716" w:type="dxa"/>
            <w:gridSpan w:val="4"/>
            <w:tcBorders>
              <w:top w:val="double" w:sz="2" w:space="0" w:color="9F9F9F"/>
              <w:left w:val="double" w:sz="2" w:space="0" w:color="EFEFEF"/>
              <w:bottom w:val="double" w:sz="2" w:space="0" w:color="9F9F9F"/>
              <w:right w:val="double" w:sz="2" w:space="0" w:color="EFEFEF"/>
            </w:tcBorders>
          </w:tcPr>
          <w:p>
            <w:pPr>
              <w:pStyle w:val="TableParagraph"/>
              <w:spacing w:before="18"/>
              <w:ind w:left="25" w:right="7358"/>
              <w:rPr>
                <w:b/>
                <w:sz w:val="24"/>
              </w:rPr>
            </w:pPr>
            <w:r>
              <w:rPr>
                <w:b/>
                <w:sz w:val="24"/>
              </w:rPr>
              <w:t>4. TABLED Courses</w:t>
            </w:r>
            <w:r>
              <w:rPr>
                <w:b/>
                <w:color w:val="00AF50"/>
                <w:sz w:val="24"/>
              </w:rPr>
              <w:t> NONE</w:t>
            </w:r>
          </w:p>
        </w:tc>
      </w:tr>
      <w:tr>
        <w:trPr>
          <w:trHeight w:val="1147" w:hRule="atLeast"/>
        </w:trPr>
        <w:tc>
          <w:tcPr>
            <w:tcW w:w="9716" w:type="dxa"/>
            <w:gridSpan w:val="4"/>
            <w:tcBorders>
              <w:top w:val="double" w:sz="2" w:space="0" w:color="9F9F9F"/>
              <w:left w:val="double" w:sz="2" w:space="0" w:color="EFEFEF"/>
              <w:bottom w:val="double" w:sz="2" w:space="0" w:color="9F9F9F"/>
              <w:right w:val="double" w:sz="2" w:space="0" w:color="EFEFEF"/>
            </w:tcBorders>
          </w:tcPr>
          <w:p>
            <w:pPr>
              <w:pStyle w:val="TableParagraph"/>
              <w:spacing w:before="18"/>
              <w:ind w:left="25" w:right="4398"/>
              <w:rPr>
                <w:b/>
                <w:sz w:val="24"/>
              </w:rPr>
            </w:pPr>
            <w:r>
              <w:rPr>
                <w:b/>
                <w:sz w:val="24"/>
              </w:rPr>
              <w:t>6. Provisional Approval (For information only)</w:t>
            </w:r>
            <w:r>
              <w:rPr>
                <w:b/>
                <w:color w:val="00AF50"/>
                <w:sz w:val="24"/>
              </w:rPr>
              <w:t> Minor Administrative Changes to ABE 020</w:t>
            </w:r>
          </w:p>
          <w:p>
            <w:pPr>
              <w:pStyle w:val="TableParagraph"/>
              <w:spacing w:before="1"/>
              <w:ind w:left="25" w:right="7"/>
              <w:rPr>
                <w:sz w:val="24"/>
              </w:rPr>
            </w:pPr>
            <w:r>
              <w:rPr>
                <w:sz w:val="24"/>
              </w:rPr>
              <w:t>This change was made because they were unable to register students with the letter grade option, so the letter grade option for this course was replaced S/U.</w:t>
            </w:r>
          </w:p>
        </w:tc>
      </w:tr>
      <w:tr>
        <w:trPr>
          <w:trHeight w:val="598" w:hRule="atLeast"/>
        </w:trPr>
        <w:tc>
          <w:tcPr>
            <w:tcW w:w="9716" w:type="dxa"/>
            <w:gridSpan w:val="4"/>
            <w:tcBorders>
              <w:top w:val="double" w:sz="2" w:space="0" w:color="9F9F9F"/>
              <w:left w:val="double" w:sz="2" w:space="0" w:color="EFEFEF"/>
              <w:bottom w:val="double" w:sz="2" w:space="0" w:color="9F9F9F"/>
              <w:right w:val="double" w:sz="2" w:space="0" w:color="EFEFEF"/>
            </w:tcBorders>
          </w:tcPr>
          <w:p>
            <w:pPr>
              <w:pStyle w:val="TableParagraph"/>
              <w:spacing w:before="18"/>
              <w:ind w:left="25" w:right="7212"/>
              <w:rPr>
                <w:b/>
                <w:sz w:val="24"/>
              </w:rPr>
            </w:pPr>
            <w:r>
              <w:rPr>
                <w:b/>
                <w:sz w:val="24"/>
              </w:rPr>
              <w:t>7. DELETED Courses</w:t>
            </w:r>
            <w:r>
              <w:rPr>
                <w:b/>
                <w:color w:val="00AF50"/>
                <w:sz w:val="24"/>
              </w:rPr>
              <w:t> NONE</w:t>
            </w:r>
          </w:p>
        </w:tc>
      </w:tr>
      <w:tr>
        <w:trPr>
          <w:trHeight w:val="3551" w:hRule="atLeast"/>
        </w:trPr>
        <w:tc>
          <w:tcPr>
            <w:tcW w:w="9716" w:type="dxa"/>
            <w:gridSpan w:val="4"/>
            <w:tcBorders>
              <w:top w:val="double" w:sz="2" w:space="0" w:color="9F9F9F"/>
              <w:left w:val="double" w:sz="2" w:space="0" w:color="EFEFEF"/>
              <w:bottom w:val="double" w:sz="2" w:space="0" w:color="9F9F9F"/>
              <w:right w:val="double" w:sz="2" w:space="0" w:color="9F9F9F"/>
            </w:tcBorders>
          </w:tcPr>
          <w:p>
            <w:pPr>
              <w:pStyle w:val="TableParagraph"/>
              <w:spacing w:before="18"/>
              <w:ind w:left="25"/>
              <w:rPr>
                <w:b/>
                <w:sz w:val="24"/>
              </w:rPr>
            </w:pPr>
            <w:r>
              <w:rPr>
                <w:b/>
                <w:sz w:val="24"/>
              </w:rPr>
              <w:t>8. UPDATED Courses</w:t>
            </w:r>
          </w:p>
          <w:p>
            <w:pPr>
              <w:pStyle w:val="TableParagraph"/>
              <w:spacing w:line="254" w:lineRule="auto" w:before="1"/>
              <w:ind w:left="25" w:right="2477"/>
              <w:rPr>
                <w:b/>
                <w:sz w:val="24"/>
              </w:rPr>
            </w:pPr>
            <w:r>
              <w:rPr>
                <w:b/>
                <w:color w:val="00AF50"/>
                <w:sz w:val="24"/>
              </w:rPr>
              <w:t>ABE 070 Reading and Writing for the Sciences: Health Science ABE 071 Reading and Writing for Occupational Education</w:t>
            </w:r>
          </w:p>
          <w:p>
            <w:pPr>
              <w:pStyle w:val="TableParagraph"/>
              <w:spacing w:line="256" w:lineRule="auto" w:before="2"/>
              <w:ind w:left="25" w:right="704"/>
              <w:rPr>
                <w:b/>
                <w:sz w:val="24"/>
              </w:rPr>
            </w:pPr>
            <w:r>
              <w:rPr>
                <w:b/>
                <w:color w:val="00AF50"/>
                <w:sz w:val="24"/>
              </w:rPr>
              <w:t>ABE 072 Reading and Writing for Social Studies: Washington State History ABE 073 Reading and Writing doe Social Studies: Contemporary World Issues ABE 094 Academic Reading and Writing II: Threshold</w:t>
            </w:r>
          </w:p>
          <w:p>
            <w:pPr>
              <w:pStyle w:val="TableParagraph"/>
              <w:spacing w:line="256" w:lineRule="auto"/>
              <w:ind w:left="25" w:right="356"/>
              <w:rPr>
                <w:b/>
                <w:sz w:val="24"/>
              </w:rPr>
            </w:pPr>
            <w:r>
              <w:rPr>
                <w:b/>
                <w:sz w:val="24"/>
              </w:rPr>
              <w:t>These five courses have been pulled from the agenda as more changes are being considered.</w:t>
            </w:r>
          </w:p>
          <w:p>
            <w:pPr>
              <w:pStyle w:val="TableParagraph"/>
              <w:spacing w:before="3"/>
              <w:ind w:left="0"/>
              <w:rPr>
                <w:b/>
                <w:sz w:val="25"/>
              </w:rPr>
            </w:pPr>
          </w:p>
          <w:p>
            <w:pPr>
              <w:pStyle w:val="TableParagraph"/>
              <w:spacing w:line="254" w:lineRule="auto"/>
              <w:ind w:left="25" w:right="5731"/>
              <w:rPr>
                <w:b/>
                <w:sz w:val="24"/>
              </w:rPr>
            </w:pPr>
            <w:r>
              <w:rPr>
                <w:b/>
                <w:color w:val="00AF50"/>
                <w:sz w:val="24"/>
              </w:rPr>
              <w:t>AESL 011 Integrated ESL - Level 1 AESL 012 Integrated ESL - Level</w:t>
            </w:r>
            <w:r>
              <w:rPr>
                <w:b/>
                <w:color w:val="00AF50"/>
                <w:spacing w:val="-15"/>
                <w:sz w:val="24"/>
              </w:rPr>
              <w:t> </w:t>
            </w:r>
            <w:r>
              <w:rPr>
                <w:b/>
                <w:color w:val="00AF50"/>
                <w:sz w:val="24"/>
              </w:rPr>
              <w:t>2</w:t>
            </w:r>
          </w:p>
          <w:p>
            <w:pPr>
              <w:pStyle w:val="TableParagraph"/>
              <w:spacing w:before="3"/>
              <w:ind w:left="25"/>
              <w:rPr>
                <w:b/>
                <w:sz w:val="24"/>
              </w:rPr>
            </w:pPr>
            <w:r>
              <w:rPr>
                <w:b/>
                <w:color w:val="00AF50"/>
                <w:sz w:val="24"/>
              </w:rPr>
              <w:t>AESL 013 Integrated ESL - Level</w:t>
            </w:r>
            <w:r>
              <w:rPr>
                <w:b/>
                <w:color w:val="00AF50"/>
                <w:spacing w:val="-15"/>
                <w:sz w:val="24"/>
              </w:rPr>
              <w:t> </w:t>
            </w:r>
            <w:r>
              <w:rPr>
                <w:b/>
                <w:color w:val="00AF50"/>
                <w:sz w:val="24"/>
              </w:rPr>
              <w:t>3</w:t>
            </w:r>
          </w:p>
        </w:tc>
      </w:tr>
    </w:tbl>
    <w:p>
      <w:pPr>
        <w:spacing w:after="0"/>
        <w:rPr>
          <w:sz w:val="24"/>
        </w:rPr>
        <w:sectPr>
          <w:type w:val="continuous"/>
          <w:pgSz w:w="12240" w:h="15840"/>
          <w:pgMar w:top="1480" w:bottom="280" w:left="940" w:right="0"/>
        </w:sectPr>
      </w:pPr>
    </w:p>
    <w:p>
      <w:pPr>
        <w:spacing w:line="256" w:lineRule="auto" w:before="75"/>
        <w:ind w:left="161" w:right="7241" w:firstLine="0"/>
        <w:jc w:val="both"/>
        <w:rPr>
          <w:b/>
          <w:sz w:val="24"/>
        </w:rPr>
      </w:pPr>
      <w:r>
        <w:rPr/>
        <w:pict>
          <v:group style="position:absolute;margin-left:51.720001pt;margin-top:72pt;width:488.4pt;height:637.1pt;mso-position-horizontal-relative:page;mso-position-vertical-relative:page;z-index:-251974656" coordorigin="1034,1440" coordsize="9768,12742">
            <v:line style="position:absolute" from="1049,1447" to="10788,1447" stroked="true" strokeweight=".72pt" strokecolor="#efefef">
              <v:stroke dashstyle="solid"/>
            </v:line>
            <v:rect style="position:absolute;left:10787;top:1440;width:15;height:15" filled="true" fillcolor="#efefef" stroked="false">
              <v:fill type="solid"/>
            </v:rect>
            <v:line style="position:absolute" from="1087,1478" to="10749,1478" stroked="true" strokeweight=".72pt" strokecolor="#9f9f9f">
              <v:stroke dashstyle="solid"/>
            </v:line>
            <v:rect style="position:absolute;left:10749;top:1471;width:15;height:15" filled="true" fillcolor="#9f9f9f" stroked="false">
              <v:fill type="solid"/>
            </v:rect>
            <v:rect style="position:absolute;left:1072;top:12111;width:15;height:15" filled="true" fillcolor="#efefef" stroked="false">
              <v:fill type="solid"/>
            </v:rect>
            <v:line style="position:absolute" from="1087,12119" to="10749,12119" stroked="true" strokeweight=".74402pt" strokecolor="#efefef">
              <v:stroke dashstyle="solid"/>
            </v:line>
            <v:line style="position:absolute" from="1080,1471" to="1080,12127" stroked="true" strokeweight=".72pt" strokecolor="#9f9f9f">
              <v:stroke dashstyle="solid"/>
            </v:line>
            <v:line style="position:absolute" from="10756,1471" to="10756,12127" stroked="true" strokeweight=".72003pt" strokecolor="#efefef">
              <v:stroke dashstyle="solid"/>
            </v:line>
            <v:line style="position:absolute" from="1087,12168" to="10749,12168" stroked="true" strokeweight=".72003pt" strokecolor="#9f9f9f">
              <v:stroke dashstyle="solid"/>
            </v:line>
            <v:rect style="position:absolute;left:10749;top:12160;width:15;height:15" filled="true" fillcolor="#9f9f9f" stroked="false">
              <v:fill type="solid"/>
            </v:rect>
            <v:rect style="position:absolute;left:1072;top:14135;width:15;height:15" filled="true" fillcolor="#efefef" stroked="false">
              <v:fill type="solid"/>
            </v:rect>
            <v:line style="position:absolute" from="1087,14143" to="10749,14143" stroked="true" strokeweight=".72003pt" strokecolor="#efefef">
              <v:stroke dashstyle="solid"/>
            </v:line>
            <v:line style="position:absolute" from="1080,12160" to="1080,14150" stroked="true" strokeweight=".72pt" strokecolor="#9f9f9f">
              <v:stroke dashstyle="solid"/>
            </v:line>
            <v:line style="position:absolute" from="10756,12160" to="10756,14150" stroked="true" strokeweight=".72003pt" strokecolor="#efefef">
              <v:stroke dashstyle="solid"/>
            </v:line>
            <v:line style="position:absolute" from="1042,1440" to="1042,14181" stroked="true" strokeweight=".72pt" strokecolor="#efefef">
              <v:stroke dashstyle="solid"/>
            </v:line>
            <v:rect style="position:absolute;left:1034;top:14166;width:15;height:15" filled="true" fillcolor="#9f9f9f" stroked="false">
              <v:fill type="solid"/>
            </v:rect>
            <v:line style="position:absolute" from="1049,14174" to="10788,14174" stroked="true" strokeweight=".72003pt" strokecolor="#9f9f9f">
              <v:stroke dashstyle="solid"/>
            </v:line>
            <v:line style="position:absolute" from="10795,1440" to="10795,14181" stroked="true" strokeweight=".72003pt" strokecolor="#9f9f9f">
              <v:stroke dashstyle="solid"/>
            </v:line>
            <w10:wrap type="none"/>
          </v:group>
        </w:pict>
      </w:r>
      <w:r>
        <w:rPr>
          <w:b/>
          <w:color w:val="00AF50"/>
          <w:sz w:val="24"/>
        </w:rPr>
        <w:t>AESL 014 Integrated ESL - Level 4 AESL 015 Integrated ESL - Level 5 AESL 016 Integrated ESL - Level 6</w:t>
      </w:r>
    </w:p>
    <w:p>
      <w:pPr>
        <w:spacing w:line="274" w:lineRule="exact" w:before="0"/>
        <w:ind w:left="161" w:right="0" w:firstLine="0"/>
        <w:jc w:val="left"/>
        <w:rPr>
          <w:sz w:val="24"/>
        </w:rPr>
      </w:pPr>
      <w:r>
        <w:rPr>
          <w:b/>
          <w:sz w:val="24"/>
        </w:rPr>
        <w:t>Motion: </w:t>
      </w:r>
      <w:r>
        <w:rPr>
          <w:sz w:val="24"/>
        </w:rPr>
        <w:t>Phil Hunter. </w:t>
      </w:r>
      <w:r>
        <w:rPr>
          <w:b/>
          <w:sz w:val="24"/>
        </w:rPr>
        <w:t>Second: </w:t>
      </w:r>
      <w:r>
        <w:rPr>
          <w:sz w:val="24"/>
        </w:rPr>
        <w:t>Jeff Calkins.</w:t>
      </w:r>
    </w:p>
    <w:p>
      <w:pPr>
        <w:pStyle w:val="BodyText"/>
        <w:spacing w:line="256" w:lineRule="auto" w:before="20"/>
        <w:ind w:left="161" w:right="1579"/>
        <w:rPr>
          <w:b/>
        </w:rPr>
      </w:pPr>
      <w:r>
        <w:rPr/>
        <w:t>Wendy Larsen explained that the outcomes for these courses have been updated to comply with new State Learning Standards. The credits for these courses are listed as variable because they offer programs at different sites. The repeatability is 3 for these courses. </w:t>
      </w:r>
      <w:r>
        <w:rPr>
          <w:b/>
        </w:rPr>
        <w:t>Motion carried.</w:t>
      </w:r>
    </w:p>
    <w:p>
      <w:pPr>
        <w:pStyle w:val="BodyText"/>
        <w:spacing w:before="2"/>
        <w:rPr>
          <w:b/>
          <w:sz w:val="25"/>
        </w:rPr>
      </w:pPr>
    </w:p>
    <w:p>
      <w:pPr>
        <w:pStyle w:val="Heading1"/>
        <w:spacing w:line="256" w:lineRule="auto"/>
        <w:ind w:right="3985"/>
      </w:pPr>
      <w:r>
        <w:rPr>
          <w:color w:val="00AF50"/>
        </w:rPr>
        <w:t>BIOL&amp; 221 Introduction to Evolution, Ecology and Biodiversity BIOL&amp; 223 Introduction to the Biology of Organisms</w:t>
      </w:r>
    </w:p>
    <w:p>
      <w:pPr>
        <w:spacing w:line="273" w:lineRule="exact" w:before="0"/>
        <w:ind w:left="161" w:right="0" w:firstLine="0"/>
        <w:jc w:val="left"/>
        <w:rPr>
          <w:sz w:val="24"/>
        </w:rPr>
      </w:pPr>
      <w:r>
        <w:rPr>
          <w:b/>
          <w:sz w:val="24"/>
        </w:rPr>
        <w:t>Motion: </w:t>
      </w:r>
      <w:r>
        <w:rPr>
          <w:sz w:val="24"/>
        </w:rPr>
        <w:t>Phil Hunter. </w:t>
      </w:r>
      <w:r>
        <w:rPr>
          <w:b/>
          <w:sz w:val="24"/>
        </w:rPr>
        <w:t>Second: </w:t>
      </w:r>
      <w:r>
        <w:rPr>
          <w:sz w:val="24"/>
        </w:rPr>
        <w:t>Jeff Calkins.</w:t>
      </w:r>
    </w:p>
    <w:p>
      <w:pPr>
        <w:pStyle w:val="BodyText"/>
        <w:spacing w:line="256" w:lineRule="auto" w:before="20"/>
        <w:ind w:left="161" w:right="1579"/>
      </w:pPr>
      <w:r>
        <w:rPr/>
        <w:t>Heather Cushman explained that the department made the decision last year to require that the three upper-level Biology courses be taken in order, necessitating a change in the wording of the course catalog. There is also now a minimum grade requirement in the prerequisites, as is true of the other upper-level Biology courses (so now they are consistent across the entire sequence).</w:t>
      </w:r>
    </w:p>
    <w:p>
      <w:pPr>
        <w:pStyle w:val="BodyText"/>
        <w:spacing w:before="2"/>
        <w:rPr>
          <w:sz w:val="25"/>
        </w:rPr>
      </w:pPr>
    </w:p>
    <w:p>
      <w:pPr>
        <w:pStyle w:val="Heading1"/>
        <w:jc w:val="both"/>
      </w:pPr>
      <w:r>
        <w:rPr>
          <w:color w:val="00AF50"/>
        </w:rPr>
        <w:t>EAP 095 Reading, Writing, &amp; Grammar I</w:t>
      </w:r>
    </w:p>
    <w:p>
      <w:pPr>
        <w:spacing w:before="17"/>
        <w:ind w:left="161" w:right="0" w:firstLine="0"/>
        <w:jc w:val="both"/>
        <w:rPr>
          <w:sz w:val="24"/>
        </w:rPr>
      </w:pPr>
      <w:r>
        <w:rPr>
          <w:b/>
          <w:sz w:val="24"/>
        </w:rPr>
        <w:t>Motion: </w:t>
      </w:r>
      <w:r>
        <w:rPr>
          <w:sz w:val="24"/>
        </w:rPr>
        <w:t>Darlene Rompogren. </w:t>
      </w:r>
      <w:r>
        <w:rPr>
          <w:b/>
          <w:sz w:val="24"/>
        </w:rPr>
        <w:t>Second: </w:t>
      </w:r>
      <w:r>
        <w:rPr>
          <w:sz w:val="24"/>
        </w:rPr>
        <w:t>Heather Gillanders.</w:t>
      </w:r>
    </w:p>
    <w:p>
      <w:pPr>
        <w:pStyle w:val="BodyText"/>
        <w:spacing w:line="256" w:lineRule="auto" w:before="19"/>
        <w:ind w:left="161" w:right="2204"/>
        <w:jc w:val="both"/>
        <w:rPr>
          <w:b/>
        </w:rPr>
      </w:pPr>
      <w:r>
        <w:rPr/>
        <w:t>Darlene Rompogren explained that this change was simply to add the newly</w:t>
      </w:r>
      <w:r>
        <w:rPr>
          <w:spacing w:val="-33"/>
        </w:rPr>
        <w:t> </w:t>
      </w:r>
      <w:r>
        <w:rPr/>
        <w:t>created Introductory-level EAP course (EAP 85) as an additional prerequisite for this course. </w:t>
      </w:r>
      <w:r>
        <w:rPr>
          <w:b/>
        </w:rPr>
        <w:t>Motion carried.</w:t>
      </w:r>
    </w:p>
    <w:p>
      <w:pPr>
        <w:pStyle w:val="BodyText"/>
        <w:spacing w:before="6"/>
        <w:rPr>
          <w:b/>
          <w:sz w:val="25"/>
        </w:rPr>
      </w:pPr>
    </w:p>
    <w:p>
      <w:pPr>
        <w:pStyle w:val="Heading1"/>
        <w:spacing w:line="256" w:lineRule="auto"/>
        <w:ind w:right="6307"/>
        <w:jc w:val="both"/>
        <w:rPr>
          <w:b w:val="0"/>
        </w:rPr>
      </w:pPr>
      <w:r>
        <w:rPr>
          <w:color w:val="00AF50"/>
        </w:rPr>
        <w:t>NURS 171 Health and Illness Concepts 1A NURS 173 Health and Illness Concepts 2A NURS 174 Health and Illness Concepts 2B NURS 175 Health and Illness Concepts 3A NURS 176 Health and Illness Concepts 3B NURS 271 Health and Illness Concepts 4A NURS 272 Health and Illness Concepts 4B NURS 273 Health and Illness Concepts 5A NURS 274 Health and Illness Concepts 5B </w:t>
      </w:r>
      <w:r>
        <w:rPr/>
        <w:t>Motion: </w:t>
      </w:r>
      <w:r>
        <w:rPr>
          <w:b w:val="0"/>
        </w:rPr>
        <w:t>Char Gore. </w:t>
      </w:r>
      <w:r>
        <w:rPr/>
        <w:t>Second: </w:t>
      </w:r>
      <w:r>
        <w:rPr>
          <w:b w:val="0"/>
        </w:rPr>
        <w:t>Mike Mixdorf.</w:t>
      </w:r>
    </w:p>
    <w:p>
      <w:pPr>
        <w:pStyle w:val="BodyText"/>
        <w:spacing w:line="256" w:lineRule="auto"/>
        <w:ind w:left="161" w:right="2601"/>
        <w:jc w:val="both"/>
        <w:rPr>
          <w:b/>
        </w:rPr>
      </w:pPr>
      <w:r>
        <w:rPr/>
        <w:t>Ruth Lopes explained that this was an update of the course objectives to</w:t>
      </w:r>
      <w:r>
        <w:rPr>
          <w:spacing w:val="-30"/>
        </w:rPr>
        <w:t> </w:t>
      </w:r>
      <w:r>
        <w:rPr/>
        <w:t>include “culturally sensitive” and to fix one minor typo. </w:t>
      </w:r>
      <w:r>
        <w:rPr>
          <w:b/>
        </w:rPr>
        <w:t>Motion</w:t>
      </w:r>
      <w:r>
        <w:rPr>
          <w:b/>
          <w:spacing w:val="-10"/>
        </w:rPr>
        <w:t> </w:t>
      </w:r>
      <w:r>
        <w:rPr>
          <w:b/>
        </w:rPr>
        <w:t>carried.</w:t>
      </w:r>
    </w:p>
    <w:p>
      <w:pPr>
        <w:pStyle w:val="ListParagraph"/>
        <w:numPr>
          <w:ilvl w:val="0"/>
          <w:numId w:val="2"/>
        </w:numPr>
        <w:tabs>
          <w:tab w:pos="431" w:val="left" w:leader="none"/>
        </w:tabs>
        <w:spacing w:line="240" w:lineRule="auto" w:before="79" w:after="0"/>
        <w:ind w:left="430" w:right="0" w:hanging="270"/>
        <w:jc w:val="left"/>
        <w:rPr>
          <w:b/>
          <w:sz w:val="24"/>
        </w:rPr>
      </w:pPr>
      <w:r>
        <w:rPr>
          <w:b/>
          <w:sz w:val="24"/>
        </w:rPr>
        <w:t>NEW</w:t>
      </w:r>
      <w:r>
        <w:rPr>
          <w:b/>
          <w:spacing w:val="-2"/>
          <w:sz w:val="24"/>
        </w:rPr>
        <w:t> </w:t>
      </w:r>
      <w:r>
        <w:rPr>
          <w:b/>
          <w:sz w:val="24"/>
        </w:rPr>
        <w:t>Courses</w:t>
      </w:r>
    </w:p>
    <w:p>
      <w:pPr>
        <w:spacing w:before="0"/>
        <w:ind w:left="161" w:right="5971" w:firstLine="0"/>
        <w:jc w:val="left"/>
        <w:rPr>
          <w:sz w:val="24"/>
        </w:rPr>
      </w:pPr>
      <w:r>
        <w:rPr>
          <w:b/>
          <w:color w:val="00AF50"/>
          <w:sz w:val="24"/>
        </w:rPr>
        <w:t>BUS 232 Introduction to Project Management </w:t>
      </w:r>
      <w:r>
        <w:rPr>
          <w:b/>
          <w:sz w:val="24"/>
        </w:rPr>
        <w:t>Motion: </w:t>
      </w:r>
      <w:r>
        <w:rPr>
          <w:sz w:val="24"/>
        </w:rPr>
        <w:t>Char Gore. </w:t>
      </w:r>
      <w:r>
        <w:rPr>
          <w:b/>
          <w:sz w:val="24"/>
        </w:rPr>
        <w:t>Second: </w:t>
      </w:r>
      <w:r>
        <w:rPr>
          <w:sz w:val="24"/>
        </w:rPr>
        <w:t>Jeff Calkins.</w:t>
      </w:r>
    </w:p>
    <w:p>
      <w:pPr>
        <w:pStyle w:val="BodyText"/>
        <w:tabs>
          <w:tab w:pos="5997" w:val="left" w:leader="none"/>
        </w:tabs>
        <w:ind w:left="161" w:right="1754"/>
        <w:rPr>
          <w:b/>
        </w:rPr>
      </w:pPr>
      <w:r>
        <w:rPr/>
        <w:t>Mary Jane Oberhofer explained that this course was created at the request of the Prof- Tech Advisory Committee to bolster project the management course content by focusing less on IT content and more on</w:t>
      </w:r>
      <w:r>
        <w:rPr>
          <w:spacing w:val="-11"/>
        </w:rPr>
        <w:t> </w:t>
      </w:r>
      <w:r>
        <w:rPr/>
        <w:t>project</w:t>
      </w:r>
      <w:r>
        <w:rPr>
          <w:spacing w:val="-3"/>
        </w:rPr>
        <w:t> </w:t>
      </w:r>
      <w:r>
        <w:rPr/>
        <w:t>management.</w:t>
        <w:tab/>
      </w:r>
      <w:r>
        <w:rPr>
          <w:b/>
        </w:rPr>
        <w:t>Motion carried.</w:t>
      </w:r>
    </w:p>
    <w:p>
      <w:pPr>
        <w:spacing w:after="0"/>
        <w:sectPr>
          <w:pgSz w:w="12240" w:h="15840"/>
          <w:pgMar w:top="1420" w:bottom="280" w:left="940" w:right="0"/>
        </w:sectPr>
      </w:pPr>
    </w:p>
    <w:p>
      <w:pPr>
        <w:spacing w:before="75"/>
        <w:ind w:left="161" w:right="5224" w:firstLine="0"/>
        <w:jc w:val="left"/>
        <w:rPr>
          <w:sz w:val="24"/>
        </w:rPr>
      </w:pPr>
      <w:r>
        <w:rPr/>
        <w:pict>
          <v:group style="position:absolute;margin-left:51.720001pt;margin-top:72pt;width:488.4pt;height:646.2pt;mso-position-horizontal-relative:page;mso-position-vertical-relative:page;z-index:-251973632" coordorigin="1034,1440" coordsize="9768,12924">
            <v:line style="position:absolute" from="1049,1447" to="10788,1447" stroked="true" strokeweight=".72pt" strokecolor="#efefef">
              <v:stroke dashstyle="solid"/>
            </v:line>
            <v:rect style="position:absolute;left:10787;top:1440;width:15;height:15" filled="true" fillcolor="#efefef" stroked="false">
              <v:fill type="solid"/>
            </v:rect>
            <v:line style="position:absolute" from="1087,1478" to="10749,1478" stroked="true" strokeweight=".72pt" strokecolor="#9f9f9f">
              <v:stroke dashstyle="solid"/>
            </v:line>
            <v:rect style="position:absolute;left:10749;top:1471;width:15;height:15" filled="true" fillcolor="#9f9f9f" stroked="false">
              <v:fill type="solid"/>
            </v:rect>
            <v:rect style="position:absolute;left:1072;top:3170;width:15;height:15" filled="true" fillcolor="#efefef" stroked="false">
              <v:fill type="solid"/>
            </v:rect>
            <v:line style="position:absolute" from="1087,3178" to="10749,3178" stroked="true" strokeweight=".72pt" strokecolor="#efefef">
              <v:stroke dashstyle="solid"/>
            </v:line>
            <v:line style="position:absolute" from="1080,1471" to="1080,3185" stroked="true" strokeweight=".72pt" strokecolor="#9f9f9f">
              <v:stroke dashstyle="solid"/>
            </v:line>
            <v:line style="position:absolute" from="10756,1471" to="10756,3185" stroked="true" strokeweight=".72003pt" strokecolor="#efefef">
              <v:stroke dashstyle="solid"/>
            </v:line>
            <v:line style="position:absolute" from="1087,3226" to="10749,3226" stroked="true" strokeweight=".72pt" strokecolor="#9f9f9f">
              <v:stroke dashstyle="solid"/>
            </v:line>
            <v:rect style="position:absolute;left:10749;top:3218;width:15;height:15" filled="true" fillcolor="#9f9f9f" stroked="false">
              <v:fill type="solid"/>
            </v:rect>
            <v:rect style="position:absolute;left:1072;top:14317;width:15;height:15" filled="true" fillcolor="#efefef" stroked="false">
              <v:fill type="solid"/>
            </v:rect>
            <v:line style="position:absolute" from="1087,14325" to="10749,14325" stroked="true" strokeweight=".72003pt" strokecolor="#efefef">
              <v:stroke dashstyle="solid"/>
            </v:line>
            <v:line style="position:absolute" from="1080,3219" to="1080,14332" stroked="true" strokeweight=".72pt" strokecolor="#9f9f9f">
              <v:stroke dashstyle="solid"/>
            </v:line>
            <v:line style="position:absolute" from="10756,3219" to="10756,14332" stroked="true" strokeweight=".72003pt" strokecolor="#efefef">
              <v:stroke dashstyle="solid"/>
            </v:line>
            <v:line style="position:absolute" from="1042,1440" to="1042,14364" stroked="true" strokeweight=".72pt" strokecolor="#efefef">
              <v:stroke dashstyle="solid"/>
            </v:line>
            <v:rect style="position:absolute;left:1034;top:14349;width:15;height:15" filled="true" fillcolor="#9f9f9f" stroked="false">
              <v:fill type="solid"/>
            </v:rect>
            <v:line style="position:absolute" from="1049,14356" to="10788,14356" stroked="true" strokeweight=".72003pt" strokecolor="#9f9f9f">
              <v:stroke dashstyle="solid"/>
            </v:line>
            <v:line style="position:absolute" from="10795,1440" to="10795,14364" stroked="true" strokeweight=".72003pt" strokecolor="#9f9f9f">
              <v:stroke dashstyle="solid"/>
            </v:line>
            <w10:wrap type="none"/>
          </v:group>
        </w:pict>
      </w:r>
      <w:r>
        <w:rPr>
          <w:b/>
          <w:color w:val="00AF50"/>
          <w:sz w:val="24"/>
        </w:rPr>
        <w:t>POLS 240 Environmental Politics and Sustainability </w:t>
      </w:r>
      <w:r>
        <w:rPr>
          <w:b/>
          <w:sz w:val="24"/>
        </w:rPr>
        <w:t>Motion: </w:t>
      </w:r>
      <w:r>
        <w:rPr>
          <w:sz w:val="24"/>
        </w:rPr>
        <w:t>Char Gore. </w:t>
      </w:r>
      <w:r>
        <w:rPr>
          <w:b/>
          <w:sz w:val="24"/>
        </w:rPr>
        <w:t>Second: </w:t>
      </w:r>
      <w:r>
        <w:rPr>
          <w:sz w:val="24"/>
        </w:rPr>
        <w:t>Heather Gillanders.</w:t>
      </w:r>
    </w:p>
    <w:p>
      <w:pPr>
        <w:pStyle w:val="BodyText"/>
        <w:spacing w:before="1"/>
        <w:ind w:left="161" w:right="1540"/>
        <w:rPr>
          <w:b/>
        </w:rPr>
      </w:pPr>
      <w:r>
        <w:rPr/>
        <w:t>This course presents an introduction to sustainability aligned with similar courses taught at UW, UWT, and other schools. It is a somewhat interdisciplinary solution-focused introduction to sustainability, and it fits into Tier 1 of the Sustainability Distinction Pathway. </w:t>
      </w:r>
      <w:r>
        <w:rPr>
          <w:b/>
        </w:rPr>
        <w:t>Motion carried.</w:t>
      </w:r>
    </w:p>
    <w:p>
      <w:pPr>
        <w:pStyle w:val="Heading1"/>
        <w:numPr>
          <w:ilvl w:val="0"/>
          <w:numId w:val="2"/>
        </w:numPr>
        <w:tabs>
          <w:tab w:pos="566" w:val="left" w:leader="none"/>
        </w:tabs>
        <w:spacing w:line="240" w:lineRule="auto" w:before="89" w:after="0"/>
        <w:ind w:left="161" w:right="3991" w:firstLine="0"/>
        <w:jc w:val="left"/>
      </w:pPr>
      <w:r>
        <w:rPr/>
        <w:t>Update/review of existing DEGREES and/or</w:t>
      </w:r>
      <w:r>
        <w:rPr>
          <w:spacing w:val="-16"/>
        </w:rPr>
        <w:t> </w:t>
      </w:r>
      <w:r>
        <w:rPr/>
        <w:t>CERTIFICATES</w:t>
      </w:r>
      <w:r>
        <w:rPr>
          <w:color w:val="00AF50"/>
        </w:rPr>
        <w:t> Associate of Science in Astronomy/Physics</w:t>
      </w:r>
    </w:p>
    <w:p>
      <w:pPr>
        <w:spacing w:before="0"/>
        <w:ind w:left="161" w:right="5224" w:firstLine="0"/>
        <w:jc w:val="left"/>
        <w:rPr>
          <w:sz w:val="24"/>
        </w:rPr>
      </w:pPr>
      <w:r>
        <w:rPr>
          <w:b/>
          <w:color w:val="00AF50"/>
          <w:sz w:val="24"/>
        </w:rPr>
        <w:t>Associate of Science in Atmospheric Science </w:t>
      </w:r>
      <w:r>
        <w:rPr>
          <w:b/>
          <w:sz w:val="24"/>
        </w:rPr>
        <w:t>Motion to endorse: </w:t>
      </w:r>
      <w:r>
        <w:rPr>
          <w:sz w:val="24"/>
        </w:rPr>
        <w:t>Char Gore. </w:t>
      </w:r>
      <w:r>
        <w:rPr>
          <w:b/>
          <w:sz w:val="24"/>
        </w:rPr>
        <w:t>Second: </w:t>
      </w:r>
      <w:r>
        <w:rPr>
          <w:sz w:val="24"/>
        </w:rPr>
        <w:t>Jeff Calkins.</w:t>
      </w:r>
    </w:p>
    <w:p>
      <w:pPr>
        <w:pStyle w:val="BodyText"/>
        <w:tabs>
          <w:tab w:pos="1873" w:val="left" w:leader="none"/>
        </w:tabs>
        <w:ind w:left="161" w:right="1571"/>
        <w:rPr>
          <w:b/>
        </w:rPr>
      </w:pPr>
      <w:r>
        <w:rPr/>
        <w:t>Phil Hunter explained that the Associate of Science degree is a degree TCC offers under the state-wide Associate of Science agreement. It is not a Direct Transfer Agreement degree. TCC's implementation of the Associate of Science degree requires students to complete a set of courses that prepares them for junior standing in a specific major. TCC calls these course sets "specializations". The Physics specialization was changed to an Astronomy/Physics specialization after a new tenure-track Astronomy faculty member was hired and the realization was made that Astronomy fit well with the Physics specialization. A new Atmospheric Science specialization was developed (to prepare students for the UW’s Atmospheric Sciences program) in response to a student advocating for this new specialization.</w:t>
        <w:tab/>
      </w:r>
      <w:r>
        <w:rPr>
          <w:b/>
        </w:rPr>
        <w:t>Motion</w:t>
      </w:r>
      <w:r>
        <w:rPr>
          <w:b/>
          <w:spacing w:val="-1"/>
        </w:rPr>
        <w:t> </w:t>
      </w:r>
      <w:r>
        <w:rPr>
          <w:b/>
        </w:rPr>
        <w:t>carried.</w:t>
      </w:r>
    </w:p>
    <w:p>
      <w:pPr>
        <w:pStyle w:val="BodyText"/>
        <w:rPr>
          <w:b/>
        </w:rPr>
      </w:pPr>
    </w:p>
    <w:p>
      <w:pPr>
        <w:pStyle w:val="Heading1"/>
        <w:spacing w:before="1"/>
        <w:ind w:right="6144"/>
      </w:pPr>
      <w:r>
        <w:rPr>
          <w:color w:val="00AF50"/>
        </w:rPr>
        <w:t>Business - Entrepreneurship Concentration Business - Global Logistics Concentration Entrepreneurship Certificate</w:t>
      </w:r>
    </w:p>
    <w:p>
      <w:pPr>
        <w:spacing w:before="0"/>
        <w:ind w:left="161" w:right="0" w:firstLine="0"/>
        <w:jc w:val="left"/>
        <w:rPr>
          <w:b/>
          <w:sz w:val="24"/>
        </w:rPr>
      </w:pPr>
      <w:r>
        <w:rPr>
          <w:b/>
          <w:color w:val="00AF50"/>
          <w:sz w:val="24"/>
        </w:rPr>
        <w:t>Management Certificate</w:t>
      </w:r>
    </w:p>
    <w:p>
      <w:pPr>
        <w:spacing w:before="0"/>
        <w:ind w:left="161" w:right="0" w:firstLine="0"/>
        <w:jc w:val="left"/>
        <w:rPr>
          <w:sz w:val="24"/>
        </w:rPr>
      </w:pPr>
      <w:r>
        <w:rPr>
          <w:b/>
          <w:sz w:val="24"/>
        </w:rPr>
        <w:t>Motion to endorse: </w:t>
      </w:r>
      <w:r>
        <w:rPr>
          <w:sz w:val="24"/>
        </w:rPr>
        <w:t>Heather Gillanders. </w:t>
      </w:r>
      <w:r>
        <w:rPr>
          <w:b/>
          <w:sz w:val="24"/>
        </w:rPr>
        <w:t>Second: </w:t>
      </w:r>
      <w:r>
        <w:rPr>
          <w:sz w:val="24"/>
        </w:rPr>
        <w:t>Dave Howard.</w:t>
      </w:r>
    </w:p>
    <w:p>
      <w:pPr>
        <w:pStyle w:val="BodyText"/>
        <w:ind w:left="161" w:right="1579"/>
      </w:pPr>
      <w:r>
        <w:rPr/>
        <w:t>Mary Jane Oberhofer explained that these are two tracks (concentrations) and two certificates. The changes are as follows:</w:t>
      </w:r>
    </w:p>
    <w:p>
      <w:pPr>
        <w:pStyle w:val="ListParagraph"/>
        <w:numPr>
          <w:ilvl w:val="1"/>
          <w:numId w:val="2"/>
        </w:numPr>
        <w:tabs>
          <w:tab w:pos="881" w:val="left" w:leader="none"/>
          <w:tab w:pos="883" w:val="left" w:leader="none"/>
        </w:tabs>
        <w:spacing w:line="240" w:lineRule="auto" w:before="1" w:after="0"/>
        <w:ind w:left="882" w:right="1948" w:hanging="360"/>
        <w:jc w:val="left"/>
        <w:rPr>
          <w:sz w:val="24"/>
        </w:rPr>
      </w:pPr>
      <w:r>
        <w:rPr>
          <w:sz w:val="24"/>
        </w:rPr>
        <w:t>The existing IT 257 class was deleted from the Entrepreneurship Certificate</w:t>
      </w:r>
      <w:r>
        <w:rPr>
          <w:spacing w:val="-27"/>
          <w:sz w:val="24"/>
        </w:rPr>
        <w:t> </w:t>
      </w:r>
      <w:r>
        <w:rPr>
          <w:sz w:val="24"/>
        </w:rPr>
        <w:t>and replaced with BUS 257, Introduction to Business Social</w:t>
      </w:r>
      <w:r>
        <w:rPr>
          <w:spacing w:val="-5"/>
          <w:sz w:val="24"/>
        </w:rPr>
        <w:t> </w:t>
      </w:r>
      <w:r>
        <w:rPr>
          <w:sz w:val="24"/>
        </w:rPr>
        <w:t>Media.</w:t>
      </w:r>
    </w:p>
    <w:p>
      <w:pPr>
        <w:pStyle w:val="ListParagraph"/>
        <w:numPr>
          <w:ilvl w:val="1"/>
          <w:numId w:val="2"/>
        </w:numPr>
        <w:tabs>
          <w:tab w:pos="881" w:val="left" w:leader="none"/>
          <w:tab w:pos="883" w:val="left" w:leader="none"/>
        </w:tabs>
        <w:spacing w:line="240" w:lineRule="auto" w:before="0" w:after="0"/>
        <w:ind w:left="882" w:right="2083" w:hanging="360"/>
        <w:jc w:val="left"/>
        <w:rPr>
          <w:sz w:val="24"/>
        </w:rPr>
      </w:pPr>
      <w:r>
        <w:rPr>
          <w:sz w:val="24"/>
        </w:rPr>
        <w:t>The program’s Advisory Committee wanted students to have the option to</w:t>
      </w:r>
      <w:r>
        <w:rPr>
          <w:spacing w:val="-40"/>
          <w:sz w:val="24"/>
        </w:rPr>
        <w:t> </w:t>
      </w:r>
      <w:r>
        <w:rPr>
          <w:sz w:val="24"/>
        </w:rPr>
        <w:t>take CMU 110 (Intercultural</w:t>
      </w:r>
      <w:r>
        <w:rPr>
          <w:spacing w:val="-4"/>
          <w:sz w:val="24"/>
        </w:rPr>
        <w:t> </w:t>
      </w:r>
      <w:r>
        <w:rPr>
          <w:sz w:val="24"/>
        </w:rPr>
        <w:t>Communication).</w:t>
      </w:r>
    </w:p>
    <w:p>
      <w:pPr>
        <w:pStyle w:val="ListParagraph"/>
        <w:numPr>
          <w:ilvl w:val="1"/>
          <w:numId w:val="2"/>
        </w:numPr>
        <w:tabs>
          <w:tab w:pos="881" w:val="left" w:leader="none"/>
          <w:tab w:pos="883" w:val="left" w:leader="none"/>
        </w:tabs>
        <w:spacing w:line="235" w:lineRule="auto" w:before="2" w:after="0"/>
        <w:ind w:left="882" w:right="1524" w:hanging="360"/>
        <w:jc w:val="left"/>
        <w:rPr>
          <w:sz w:val="24"/>
        </w:rPr>
      </w:pPr>
      <w:r>
        <w:rPr>
          <w:sz w:val="24"/>
        </w:rPr>
        <w:t>Two courses originally taught through WAOL don’t fit in with either of the two</w:t>
      </w:r>
      <w:r>
        <w:rPr>
          <w:spacing w:val="-38"/>
          <w:sz w:val="24"/>
        </w:rPr>
        <w:t> </w:t>
      </w:r>
      <w:r>
        <w:rPr>
          <w:sz w:val="24"/>
        </w:rPr>
        <w:t>tracks, so they are being</w:t>
      </w:r>
      <w:r>
        <w:rPr>
          <w:spacing w:val="-5"/>
          <w:sz w:val="24"/>
        </w:rPr>
        <w:t> </w:t>
      </w:r>
      <w:r>
        <w:rPr>
          <w:sz w:val="24"/>
        </w:rPr>
        <w:t>eliminated.</w:t>
      </w:r>
    </w:p>
    <w:p>
      <w:pPr>
        <w:pStyle w:val="BodyText"/>
        <w:spacing w:before="3"/>
        <w:ind w:left="161"/>
      </w:pPr>
      <w:r>
        <w:rPr/>
        <w:t>There is no change in the total number of credits for either of these.</w:t>
      </w:r>
    </w:p>
    <w:p>
      <w:pPr>
        <w:spacing w:before="0"/>
        <w:ind w:left="161" w:right="0" w:firstLine="0"/>
        <w:jc w:val="left"/>
        <w:rPr>
          <w:b/>
          <w:sz w:val="24"/>
        </w:rPr>
      </w:pPr>
      <w:r>
        <w:rPr>
          <w:b/>
          <w:sz w:val="24"/>
        </w:rPr>
        <w:t>Motion carried.</w:t>
      </w:r>
    </w:p>
    <w:p>
      <w:pPr>
        <w:pStyle w:val="BodyText"/>
        <w:rPr>
          <w:b/>
        </w:rPr>
      </w:pPr>
    </w:p>
    <w:p>
      <w:pPr>
        <w:spacing w:before="0"/>
        <w:ind w:left="161" w:right="0" w:firstLine="0"/>
        <w:jc w:val="left"/>
        <w:rPr>
          <w:b/>
          <w:sz w:val="24"/>
        </w:rPr>
      </w:pPr>
      <w:r>
        <w:rPr>
          <w:b/>
          <w:color w:val="00AF50"/>
          <w:sz w:val="24"/>
        </w:rPr>
        <w:t>Nursing: RN option, Associate in Applied Science - Transfer</w:t>
      </w:r>
    </w:p>
    <w:p>
      <w:pPr>
        <w:spacing w:before="0"/>
        <w:ind w:left="161" w:right="0" w:firstLine="0"/>
        <w:jc w:val="left"/>
        <w:rPr>
          <w:sz w:val="22"/>
        </w:rPr>
      </w:pPr>
      <w:r>
        <w:rPr>
          <w:b/>
          <w:sz w:val="22"/>
        </w:rPr>
        <w:t>Motion to endorse: </w:t>
      </w:r>
      <w:r>
        <w:rPr>
          <w:sz w:val="22"/>
        </w:rPr>
        <w:t>Char Gore. </w:t>
      </w:r>
      <w:r>
        <w:rPr>
          <w:b/>
          <w:sz w:val="22"/>
        </w:rPr>
        <w:t>Second: </w:t>
      </w:r>
      <w:r>
        <w:rPr>
          <w:sz w:val="22"/>
        </w:rPr>
        <w:t>Craig Cowden.</w:t>
      </w:r>
    </w:p>
    <w:p>
      <w:pPr>
        <w:pStyle w:val="BodyText"/>
        <w:spacing w:before="40"/>
        <w:ind w:left="161"/>
      </w:pPr>
      <w:r>
        <w:rPr/>
        <w:t>Ruth Lopes explained that there were WAC changes to require nursing degrees to be</w:t>
      </w:r>
    </w:p>
    <w:p>
      <w:pPr>
        <w:pStyle w:val="BodyText"/>
        <w:tabs>
          <w:tab w:pos="7638" w:val="left" w:leader="none"/>
        </w:tabs>
        <w:ind w:left="161" w:right="1526"/>
        <w:rPr>
          <w:b/>
        </w:rPr>
      </w:pPr>
      <w:r>
        <w:rPr/>
        <w:t>transfer degree with the goal of having all nurses have a Bachelor’s Degree. The Nursing curriculum has not been changed, but five credits of Math (Math 146, Statistics) have been added.  This is a new Associate of Applied Science</w:t>
      </w:r>
      <w:r>
        <w:rPr>
          <w:spacing w:val="-19"/>
        </w:rPr>
        <w:t> </w:t>
      </w:r>
      <w:r>
        <w:rPr/>
        <w:t>Transfer</w:t>
      </w:r>
      <w:r>
        <w:rPr>
          <w:spacing w:val="-1"/>
        </w:rPr>
        <w:t> </w:t>
      </w:r>
      <w:r>
        <w:rPr/>
        <w:t>degree.</w:t>
        <w:tab/>
      </w:r>
      <w:r>
        <w:rPr>
          <w:b/>
        </w:rPr>
        <w:t>Motion</w:t>
      </w:r>
      <w:r>
        <w:rPr>
          <w:b/>
          <w:spacing w:val="-1"/>
        </w:rPr>
        <w:t> </w:t>
      </w:r>
      <w:r>
        <w:rPr>
          <w:b/>
        </w:rPr>
        <w:t>carried.</w:t>
      </w:r>
    </w:p>
    <w:p>
      <w:pPr>
        <w:pStyle w:val="BodyText"/>
        <w:rPr>
          <w:b/>
          <w:sz w:val="26"/>
        </w:rPr>
      </w:pPr>
    </w:p>
    <w:p>
      <w:pPr>
        <w:pStyle w:val="Heading1"/>
        <w:spacing w:before="205"/>
      </w:pPr>
      <w:r>
        <w:rPr>
          <w:color w:val="00AF50"/>
        </w:rPr>
        <w:t>Phase One Proposal—Global Studies Distinction Pathway</w:t>
      </w:r>
    </w:p>
    <w:p>
      <w:pPr>
        <w:spacing w:after="0"/>
        <w:sectPr>
          <w:pgSz w:w="12240" w:h="15840"/>
          <w:pgMar w:top="1420" w:bottom="280" w:left="940" w:right="0"/>
        </w:sectPr>
      </w:pPr>
    </w:p>
    <w:tbl>
      <w:tblPr>
        <w:tblW w:w="0" w:type="auto"/>
        <w:jc w:val="left"/>
        <w:tblInd w:w="12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9715"/>
      </w:tblGrid>
      <w:tr>
        <w:trPr>
          <w:trHeight w:val="2246" w:hRule="atLeast"/>
        </w:trPr>
        <w:tc>
          <w:tcPr>
            <w:tcW w:w="9715" w:type="dxa"/>
            <w:tcBorders>
              <w:left w:val="single" w:sz="6" w:space="0" w:color="EFEFEF"/>
              <w:right w:val="single" w:sz="6" w:space="0" w:color="9F9F9F"/>
            </w:tcBorders>
          </w:tcPr>
          <w:p>
            <w:pPr>
              <w:pStyle w:val="TableParagraph"/>
              <w:spacing w:before="6"/>
              <w:rPr>
                <w:sz w:val="24"/>
              </w:rPr>
            </w:pPr>
            <w:r>
              <w:rPr>
                <w:b/>
                <w:sz w:val="24"/>
              </w:rPr>
              <w:t>Motion to endorse: </w:t>
            </w:r>
            <w:r>
              <w:rPr>
                <w:sz w:val="24"/>
              </w:rPr>
              <w:t>Char Gore. </w:t>
            </w:r>
            <w:r>
              <w:rPr>
                <w:b/>
                <w:sz w:val="24"/>
              </w:rPr>
              <w:t>Second: </w:t>
            </w:r>
            <w:r>
              <w:rPr>
                <w:sz w:val="24"/>
              </w:rPr>
              <w:t>John Falskow.</w:t>
            </w:r>
          </w:p>
          <w:p>
            <w:pPr>
              <w:pStyle w:val="TableParagraph"/>
              <w:tabs>
                <w:tab w:pos="4152" w:val="left" w:leader="none"/>
              </w:tabs>
              <w:ind w:right="273"/>
              <w:rPr>
                <w:b/>
                <w:sz w:val="24"/>
              </w:rPr>
            </w:pPr>
            <w:r>
              <w:rPr>
                <w:sz w:val="24"/>
              </w:rPr>
              <w:t>Kristina Young explained that this new distinction pathway straddles both Academic and Prof-Tech. It will include courses in Communication and Transitional Studies, Natural Sciences, and Business courses from the Direct Transfer Agreement areas. Some Prof- Tech programs (Nursing, HIM/HIT, Human Services, Logistics) will also connect to this pathway. Phase 2 will look at different mechanisms (transfer and non-transfer) for students to fulfill</w:t>
            </w:r>
            <w:r>
              <w:rPr>
                <w:spacing w:val="-5"/>
                <w:sz w:val="24"/>
              </w:rPr>
              <w:t> </w:t>
            </w:r>
            <w:r>
              <w:rPr>
                <w:sz w:val="24"/>
              </w:rPr>
              <w:t>these</w:t>
            </w:r>
            <w:r>
              <w:rPr>
                <w:spacing w:val="-4"/>
                <w:sz w:val="24"/>
              </w:rPr>
              <w:t> </w:t>
            </w:r>
            <w:r>
              <w:rPr>
                <w:sz w:val="24"/>
              </w:rPr>
              <w:t>requirements.</w:t>
              <w:tab/>
            </w:r>
            <w:r>
              <w:rPr>
                <w:b/>
                <w:sz w:val="24"/>
              </w:rPr>
              <w:t>Motion</w:t>
            </w:r>
            <w:r>
              <w:rPr>
                <w:b/>
                <w:spacing w:val="-3"/>
                <w:sz w:val="24"/>
              </w:rPr>
              <w:t> </w:t>
            </w:r>
            <w:r>
              <w:rPr>
                <w:b/>
                <w:sz w:val="24"/>
              </w:rPr>
              <w:t>carried.</w:t>
            </w:r>
          </w:p>
        </w:tc>
      </w:tr>
      <w:tr>
        <w:trPr>
          <w:trHeight w:val="5564" w:hRule="atLeast"/>
        </w:trPr>
        <w:tc>
          <w:tcPr>
            <w:tcW w:w="9715" w:type="dxa"/>
            <w:tcBorders>
              <w:left w:val="single" w:sz="6" w:space="0" w:color="EFEFEF"/>
              <w:right w:val="single" w:sz="6" w:space="0" w:color="9F9F9F"/>
            </w:tcBorders>
          </w:tcPr>
          <w:p>
            <w:pPr>
              <w:pStyle w:val="TableParagraph"/>
              <w:spacing w:before="12"/>
              <w:rPr>
                <w:b/>
                <w:sz w:val="24"/>
              </w:rPr>
            </w:pPr>
            <w:r>
              <w:rPr>
                <w:b/>
                <w:sz w:val="24"/>
              </w:rPr>
              <w:t>11. PHASE ONE Reviews</w:t>
            </w:r>
          </w:p>
          <w:p>
            <w:pPr>
              <w:pStyle w:val="TableParagraph"/>
              <w:ind w:right="2318"/>
              <w:rPr>
                <w:sz w:val="24"/>
              </w:rPr>
            </w:pPr>
            <w:r>
              <w:rPr>
                <w:b/>
                <w:color w:val="00AF50"/>
                <w:sz w:val="24"/>
              </w:rPr>
              <w:t>American Ethnic and Gender Studies Distinction Pathway </w:t>
            </w:r>
            <w:r>
              <w:rPr>
                <w:b/>
                <w:sz w:val="24"/>
              </w:rPr>
              <w:t>Motion to endorse: </w:t>
            </w:r>
            <w:r>
              <w:rPr>
                <w:sz w:val="24"/>
              </w:rPr>
              <w:t>Craig Cowden. </w:t>
            </w:r>
            <w:r>
              <w:rPr>
                <w:b/>
                <w:sz w:val="24"/>
              </w:rPr>
              <w:t>Second: </w:t>
            </w:r>
            <w:r>
              <w:rPr>
                <w:sz w:val="24"/>
              </w:rPr>
              <w:t>Dave Howard.</w:t>
            </w:r>
          </w:p>
          <w:p>
            <w:pPr>
              <w:pStyle w:val="TableParagraph"/>
              <w:ind w:right="273"/>
              <w:rPr>
                <w:sz w:val="24"/>
              </w:rPr>
            </w:pPr>
            <w:r>
              <w:rPr>
                <w:sz w:val="24"/>
              </w:rPr>
              <w:t>Andrew Cho explained that AEGS is becoming a distinction pathway instead of a certificate. The changes were to increase the number of required credits from 15 to 20 and to align the AEGS distinction pathway with other distinction pathway proposals.</w:t>
            </w:r>
          </w:p>
          <w:p>
            <w:pPr>
              <w:pStyle w:val="TableParagraph"/>
              <w:rPr>
                <w:b/>
                <w:sz w:val="24"/>
              </w:rPr>
            </w:pPr>
            <w:r>
              <w:rPr>
                <w:b/>
                <w:sz w:val="24"/>
              </w:rPr>
              <w:t>Motion carried.</w:t>
            </w:r>
          </w:p>
          <w:p>
            <w:pPr>
              <w:pStyle w:val="TableParagraph"/>
              <w:ind w:left="0"/>
              <w:rPr>
                <w:b/>
                <w:sz w:val="24"/>
              </w:rPr>
            </w:pPr>
          </w:p>
          <w:p>
            <w:pPr>
              <w:pStyle w:val="TableParagraph"/>
              <w:rPr>
                <w:b/>
                <w:sz w:val="24"/>
              </w:rPr>
            </w:pPr>
            <w:r>
              <w:rPr>
                <w:b/>
                <w:color w:val="00AF50"/>
                <w:sz w:val="24"/>
              </w:rPr>
              <w:t>Associate in Computer Science</w:t>
            </w:r>
          </w:p>
          <w:p>
            <w:pPr>
              <w:pStyle w:val="TableParagraph"/>
              <w:rPr>
                <w:sz w:val="24"/>
              </w:rPr>
            </w:pPr>
            <w:r>
              <w:rPr>
                <w:b/>
                <w:sz w:val="24"/>
              </w:rPr>
              <w:t>Motion to endorse: </w:t>
            </w:r>
            <w:r>
              <w:rPr>
                <w:sz w:val="24"/>
              </w:rPr>
              <w:t>Char Gore. </w:t>
            </w:r>
            <w:r>
              <w:rPr>
                <w:b/>
                <w:sz w:val="24"/>
              </w:rPr>
              <w:t>Second: </w:t>
            </w:r>
            <w:r>
              <w:rPr>
                <w:sz w:val="24"/>
              </w:rPr>
              <w:t>Jeff Calkins.</w:t>
            </w:r>
          </w:p>
          <w:p>
            <w:pPr>
              <w:pStyle w:val="TableParagraph"/>
              <w:tabs>
                <w:tab w:pos="1857" w:val="left" w:leader="none"/>
              </w:tabs>
              <w:spacing w:before="1"/>
              <w:ind w:right="149"/>
              <w:rPr>
                <w:b/>
                <w:sz w:val="24"/>
              </w:rPr>
            </w:pPr>
            <w:r>
              <w:rPr>
                <w:sz w:val="24"/>
              </w:rPr>
              <w:t>Greg Ferencko explained that it is hard for Computer Science students to fulfill the Associate of Science degree and be ready for junior-level requirements at a university. The benefit of the Associate in Computer Science degree is that students can get a</w:t>
            </w:r>
            <w:r>
              <w:rPr>
                <w:spacing w:val="-35"/>
                <w:sz w:val="24"/>
              </w:rPr>
              <w:t> </w:t>
            </w:r>
            <w:r>
              <w:rPr>
                <w:sz w:val="24"/>
              </w:rPr>
              <w:t>Direct Transfer Agreement degree while no longer being required to take so many higher-level math classes. There have been many students who left TCC for UWT without completing their degree. This helps students finish the degree without taking all the math classes </w:t>
            </w:r>
            <w:r>
              <w:rPr>
                <w:spacing w:val="2"/>
                <w:sz w:val="24"/>
              </w:rPr>
              <w:t>the </w:t>
            </w:r>
            <w:r>
              <w:rPr>
                <w:sz w:val="24"/>
              </w:rPr>
              <w:t>Associate of Science degree requires. Joe Shannon, Rebecca Sliger, and many others worked on</w:t>
            </w:r>
            <w:r>
              <w:rPr>
                <w:spacing w:val="-1"/>
                <w:sz w:val="24"/>
              </w:rPr>
              <w:t> </w:t>
            </w:r>
            <w:r>
              <w:rPr>
                <w:sz w:val="24"/>
              </w:rPr>
              <w:t>this.</w:t>
              <w:tab/>
            </w:r>
            <w:r>
              <w:rPr>
                <w:b/>
                <w:sz w:val="24"/>
              </w:rPr>
              <w:t>Motion carried.</w:t>
            </w:r>
          </w:p>
        </w:tc>
      </w:tr>
      <w:tr>
        <w:trPr>
          <w:trHeight w:val="319" w:hRule="atLeast"/>
        </w:trPr>
        <w:tc>
          <w:tcPr>
            <w:tcW w:w="9715" w:type="dxa"/>
            <w:tcBorders>
              <w:left w:val="single" w:sz="6" w:space="0" w:color="EFEFEF"/>
              <w:right w:val="single" w:sz="6" w:space="0" w:color="9F9F9F"/>
            </w:tcBorders>
          </w:tcPr>
          <w:p>
            <w:pPr>
              <w:pStyle w:val="TableParagraph"/>
              <w:spacing w:before="14"/>
              <w:rPr>
                <w:b/>
                <w:sz w:val="24"/>
              </w:rPr>
            </w:pPr>
            <w:r>
              <w:rPr>
                <w:b/>
                <w:sz w:val="24"/>
              </w:rPr>
              <w:t>12. PHASE TWO Reviews:</w:t>
            </w:r>
          </w:p>
        </w:tc>
      </w:tr>
      <w:tr>
        <w:trPr>
          <w:trHeight w:val="598" w:hRule="atLeast"/>
        </w:trPr>
        <w:tc>
          <w:tcPr>
            <w:tcW w:w="9715" w:type="dxa"/>
            <w:tcBorders>
              <w:left w:val="single" w:sz="6" w:space="0" w:color="EFEFEF"/>
              <w:right w:val="single" w:sz="6" w:space="0" w:color="9F9F9F"/>
            </w:tcBorders>
          </w:tcPr>
          <w:p>
            <w:pPr>
              <w:pStyle w:val="TableParagraph"/>
              <w:spacing w:before="14"/>
              <w:ind w:right="731"/>
              <w:rPr>
                <w:b/>
                <w:sz w:val="24"/>
              </w:rPr>
            </w:pPr>
            <w:r>
              <w:rPr>
                <w:b/>
                <w:sz w:val="24"/>
              </w:rPr>
              <w:t>12. Program Course Review for Content (5 year review-for information only-no action needed)</w:t>
            </w:r>
          </w:p>
        </w:tc>
      </w:tr>
      <w:tr>
        <w:trPr>
          <w:trHeight w:val="3109" w:hRule="atLeast"/>
        </w:trPr>
        <w:tc>
          <w:tcPr>
            <w:tcW w:w="9715" w:type="dxa"/>
            <w:tcBorders>
              <w:left w:val="single" w:sz="6" w:space="0" w:color="EFEFEF"/>
              <w:bottom w:val="triple" w:sz="6" w:space="0" w:color="9F9F9F"/>
              <w:right w:val="single" w:sz="6" w:space="0" w:color="9F9F9F"/>
            </w:tcBorders>
          </w:tcPr>
          <w:p>
            <w:pPr>
              <w:pStyle w:val="TableParagraph"/>
              <w:spacing w:before="14"/>
              <w:rPr>
                <w:b/>
                <w:sz w:val="24"/>
              </w:rPr>
            </w:pPr>
            <w:r>
              <w:rPr>
                <w:b/>
                <w:sz w:val="24"/>
              </w:rPr>
              <w:t>13. Other Business</w:t>
            </w:r>
          </w:p>
          <w:p>
            <w:pPr>
              <w:pStyle w:val="TableParagraph"/>
              <w:tabs>
                <w:tab w:pos="5460" w:val="left" w:leader="none"/>
                <w:tab w:pos="6560" w:val="left" w:leader="none"/>
              </w:tabs>
              <w:ind w:right="125"/>
              <w:rPr>
                <w:b/>
                <w:sz w:val="24"/>
              </w:rPr>
            </w:pPr>
            <w:r>
              <w:rPr>
                <w:b/>
                <w:sz w:val="24"/>
              </w:rPr>
              <w:t>a. Associate in</w:t>
            </w:r>
            <w:r>
              <w:rPr>
                <w:b/>
                <w:spacing w:val="-5"/>
                <w:sz w:val="24"/>
              </w:rPr>
              <w:t> </w:t>
            </w:r>
            <w:r>
              <w:rPr>
                <w:b/>
                <w:sz w:val="24"/>
              </w:rPr>
              <w:t>Science Specializations—Phil:</w:t>
              <w:tab/>
            </w:r>
            <w:r>
              <w:rPr>
                <w:sz w:val="24"/>
              </w:rPr>
              <w:t>Barb Peterson asked if the Curriculum Committee should review these or go more in depth to look at them. Joe Shannon replied that he liked the idea of their coming to the Curriculum Committee, but this is really just a concentration, so he thinks it is appropriate to bring it before the committee just to let the members know about it. Barb added that it is good to have a record of it in the CC minutes, and Colleen Spezia noted that it helps her keep up to date as well. Tod Treat said that the Curriculum Committee does not need to vote on micro-level issues and has evolved to a more macro-level view. Jeff Calkins said it is important for the Curriculum Committee to act as an institutional memory and record; he moved that the Committee continue to review these, with a second from</w:t>
            </w:r>
            <w:r>
              <w:rPr>
                <w:spacing w:val="-21"/>
                <w:sz w:val="24"/>
              </w:rPr>
              <w:t> </w:t>
            </w:r>
            <w:r>
              <w:rPr>
                <w:sz w:val="24"/>
              </w:rPr>
              <w:t>Dave</w:t>
            </w:r>
            <w:r>
              <w:rPr>
                <w:spacing w:val="-1"/>
                <w:sz w:val="24"/>
              </w:rPr>
              <w:t> </w:t>
            </w:r>
            <w:r>
              <w:rPr>
                <w:sz w:val="24"/>
              </w:rPr>
              <w:t>Howard.</w:t>
              <w:tab/>
            </w:r>
            <w:r>
              <w:rPr>
                <w:b/>
                <w:sz w:val="24"/>
              </w:rPr>
              <w:t>Motion carried.</w:t>
            </w:r>
          </w:p>
        </w:tc>
      </w:tr>
    </w:tbl>
    <w:p>
      <w:pPr>
        <w:spacing w:after="0"/>
        <w:rPr>
          <w:sz w:val="24"/>
        </w:rPr>
        <w:sectPr>
          <w:pgSz w:w="12240" w:h="15840"/>
          <w:pgMar w:top="1460" w:bottom="280" w:left="940" w:right="0"/>
        </w:sectPr>
      </w:pPr>
    </w:p>
    <w:p>
      <w:pPr>
        <w:pStyle w:val="BodyText"/>
        <w:rPr>
          <w:b/>
          <w:sz w:val="20"/>
        </w:rPr>
      </w:pPr>
      <w:r>
        <w:rPr/>
        <w:pict>
          <v:group style="position:absolute;margin-left:53.639999pt;margin-top:72pt;width:558.4pt;height:132.65pt;mso-position-horizontal-relative:page;mso-position-vertical-relative:page;z-index:-251971584" coordorigin="1073,1440" coordsize="11168,2653">
            <v:line style="position:absolute" from="1087,1447" to="12240,1447" stroked="true" strokeweight=".72pt" strokecolor="#efefef">
              <v:stroke dashstyle="solid"/>
            </v:line>
            <v:line style="position:absolute" from="1109,1478" to="12240,1478" stroked="true" strokeweight=".72pt" strokecolor="#9f9f9f">
              <v:stroke dashstyle="solid"/>
            </v:line>
            <v:rect style="position:absolute;left:1094;top:4046;width:15;height:15" filled="true" fillcolor="#efefef" stroked="false">
              <v:fill type="solid"/>
            </v:rect>
            <v:line style="position:absolute" from="1109,4054" to="12240,4054" stroked="true" strokeweight=".72pt" strokecolor="#efefef">
              <v:stroke dashstyle="solid"/>
            </v:line>
            <v:line style="position:absolute" from="1102,1471" to="1102,4061" stroked="true" strokeweight=".72pt" strokecolor="#9f9f9f">
              <v:stroke dashstyle="solid"/>
            </v:line>
            <v:line style="position:absolute" from="1080,1440" to="1080,4092" stroked="true" strokeweight=".72pt" strokecolor="#efefef">
              <v:stroke dashstyle="solid"/>
            </v:line>
            <v:rect style="position:absolute;left:1072;top:4078;width:15;height:15" filled="true" fillcolor="#9f9f9f" stroked="false">
              <v:fill type="solid"/>
            </v:rect>
            <v:line style="position:absolute" from="1087,4085" to="12240,4085" stroked="true" strokeweight=".72pt" strokecolor="#9f9f9f">
              <v:stroke dashstyle="solid"/>
            </v:line>
            <v:shapetype id="_x0000_t202" o:spt="202" coordsize="21600,21600" path="m,l,21600r21600,l21600,xe">
              <v:stroke joinstyle="miter"/>
              <v:path gradientshapeok="t" o:connecttype="rect"/>
            </v:shapetype>
            <v:shape style="position:absolute;left:1072;top:1440;width:11168;height:2653" type="#_x0000_t202" filled="false" stroked="false">
              <v:textbox inset="0,0,0,0">
                <w:txbxContent>
                  <w:p>
                    <w:pPr>
                      <w:spacing w:before="169"/>
                      <w:ind w:left="79" w:right="0" w:firstLine="0"/>
                      <w:jc w:val="left"/>
                      <w:rPr>
                        <w:sz w:val="24"/>
                      </w:rPr>
                    </w:pPr>
                    <w:r>
                      <w:rPr>
                        <w:sz w:val="24"/>
                      </w:rPr>
                      <w:t>Tentative Curriculum Dates for 2016-2017 Academic Year</w:t>
                    </w:r>
                  </w:p>
                </w:txbxContent>
              </v:textbox>
              <w10:wrap type="none"/>
            </v:shape>
            <w10:wrap type="none"/>
          </v:group>
        </w:pict>
      </w:r>
    </w:p>
    <w:p>
      <w:pPr>
        <w:pStyle w:val="BodyText"/>
        <w:rPr>
          <w:b/>
          <w:sz w:val="20"/>
        </w:rPr>
      </w:pPr>
    </w:p>
    <w:p>
      <w:pPr>
        <w:pStyle w:val="BodyText"/>
        <w:spacing w:before="3" w:after="1"/>
        <w:rPr>
          <w:b/>
          <w:sz w:val="10"/>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2"/>
        <w:gridCol w:w="1440"/>
        <w:gridCol w:w="1799"/>
        <w:gridCol w:w="1891"/>
        <w:gridCol w:w="1889"/>
      </w:tblGrid>
      <w:tr>
        <w:trPr>
          <w:trHeight w:val="676" w:hRule="atLeast"/>
        </w:trPr>
        <w:tc>
          <w:tcPr>
            <w:tcW w:w="1452" w:type="dxa"/>
          </w:tcPr>
          <w:p>
            <w:pPr>
              <w:pStyle w:val="TableParagraph"/>
              <w:spacing w:line="276" w:lineRule="auto"/>
              <w:ind w:left="369" w:right="188" w:hanging="156"/>
              <w:rPr>
                <w:sz w:val="18"/>
              </w:rPr>
            </w:pPr>
            <w:r>
              <w:rPr>
                <w:sz w:val="18"/>
              </w:rPr>
              <w:t>Submit CNet Deadline</w:t>
            </w:r>
          </w:p>
        </w:tc>
        <w:tc>
          <w:tcPr>
            <w:tcW w:w="1440" w:type="dxa"/>
          </w:tcPr>
          <w:p>
            <w:pPr>
              <w:pStyle w:val="TableParagraph"/>
              <w:spacing w:line="276" w:lineRule="auto"/>
              <w:ind w:left="305" w:right="274" w:firstLine="79"/>
              <w:rPr>
                <w:sz w:val="18"/>
              </w:rPr>
            </w:pPr>
            <w:r>
              <w:rPr>
                <w:sz w:val="18"/>
              </w:rPr>
              <w:t>Through Curricunet</w:t>
            </w:r>
          </w:p>
        </w:tc>
        <w:tc>
          <w:tcPr>
            <w:tcW w:w="1799" w:type="dxa"/>
          </w:tcPr>
          <w:p>
            <w:pPr>
              <w:pStyle w:val="TableParagraph"/>
              <w:spacing w:line="206" w:lineRule="exact"/>
              <w:ind w:left="168"/>
              <w:rPr>
                <w:sz w:val="18"/>
              </w:rPr>
            </w:pPr>
            <w:r>
              <w:rPr>
                <w:sz w:val="18"/>
              </w:rPr>
              <w:t>Agenda Published</w:t>
            </w:r>
          </w:p>
        </w:tc>
        <w:tc>
          <w:tcPr>
            <w:tcW w:w="1891" w:type="dxa"/>
          </w:tcPr>
          <w:p>
            <w:pPr>
              <w:pStyle w:val="TableParagraph"/>
              <w:spacing w:line="206" w:lineRule="exact"/>
              <w:ind w:left="165"/>
              <w:rPr>
                <w:sz w:val="18"/>
              </w:rPr>
            </w:pPr>
            <w:r>
              <w:rPr>
                <w:sz w:val="18"/>
              </w:rPr>
              <w:t>Curriculum Meeting</w:t>
            </w:r>
          </w:p>
        </w:tc>
        <w:tc>
          <w:tcPr>
            <w:tcW w:w="1889" w:type="dxa"/>
          </w:tcPr>
          <w:p>
            <w:pPr>
              <w:pStyle w:val="TableParagraph"/>
              <w:spacing w:line="276" w:lineRule="auto"/>
              <w:ind w:left="175" w:right="142" w:firstLine="55"/>
              <w:rPr>
                <w:sz w:val="18"/>
              </w:rPr>
            </w:pPr>
            <w:r>
              <w:rPr>
                <w:sz w:val="18"/>
              </w:rPr>
              <w:t>Implementation of Approved Changes</w:t>
            </w:r>
          </w:p>
        </w:tc>
      </w:tr>
      <w:tr>
        <w:trPr>
          <w:trHeight w:val="515" w:hRule="atLeast"/>
        </w:trPr>
        <w:tc>
          <w:tcPr>
            <w:tcW w:w="1452" w:type="dxa"/>
          </w:tcPr>
          <w:p>
            <w:pPr>
              <w:pStyle w:val="TableParagraph"/>
              <w:spacing w:line="274" w:lineRule="exact"/>
              <w:ind w:left="107"/>
              <w:rPr>
                <w:sz w:val="24"/>
              </w:rPr>
            </w:pPr>
            <w:r>
              <w:rPr>
                <w:sz w:val="24"/>
              </w:rPr>
              <w:t>4/17/17</w:t>
            </w:r>
          </w:p>
        </w:tc>
        <w:tc>
          <w:tcPr>
            <w:tcW w:w="1440" w:type="dxa"/>
          </w:tcPr>
          <w:p>
            <w:pPr>
              <w:pStyle w:val="TableParagraph"/>
              <w:spacing w:line="274" w:lineRule="exact"/>
              <w:ind w:left="108"/>
              <w:rPr>
                <w:sz w:val="24"/>
              </w:rPr>
            </w:pPr>
            <w:r>
              <w:rPr>
                <w:sz w:val="24"/>
              </w:rPr>
              <w:t>4/12/17</w:t>
            </w:r>
          </w:p>
        </w:tc>
        <w:tc>
          <w:tcPr>
            <w:tcW w:w="1799" w:type="dxa"/>
          </w:tcPr>
          <w:p>
            <w:pPr>
              <w:pStyle w:val="TableParagraph"/>
              <w:spacing w:line="274" w:lineRule="exact"/>
              <w:ind w:left="108"/>
              <w:rPr>
                <w:sz w:val="24"/>
              </w:rPr>
            </w:pPr>
            <w:r>
              <w:rPr>
                <w:sz w:val="24"/>
              </w:rPr>
              <w:t>4/24/17</w:t>
            </w:r>
          </w:p>
        </w:tc>
        <w:tc>
          <w:tcPr>
            <w:tcW w:w="1891" w:type="dxa"/>
          </w:tcPr>
          <w:p>
            <w:pPr>
              <w:pStyle w:val="TableParagraph"/>
              <w:spacing w:line="274" w:lineRule="exact"/>
              <w:ind w:left="109"/>
              <w:rPr>
                <w:sz w:val="24"/>
              </w:rPr>
            </w:pPr>
            <w:r>
              <w:rPr>
                <w:sz w:val="24"/>
              </w:rPr>
              <w:t>5/1/17</w:t>
            </w:r>
          </w:p>
        </w:tc>
        <w:tc>
          <w:tcPr>
            <w:tcW w:w="1889" w:type="dxa"/>
          </w:tcPr>
          <w:p>
            <w:pPr>
              <w:pStyle w:val="TableParagraph"/>
              <w:spacing w:line="274" w:lineRule="exact"/>
              <w:ind w:left="110"/>
              <w:rPr>
                <w:sz w:val="24"/>
              </w:rPr>
            </w:pPr>
            <w:r>
              <w:rPr>
                <w:sz w:val="24"/>
              </w:rPr>
              <w:t>Winter 2018</w:t>
            </w:r>
          </w:p>
        </w:tc>
      </w:tr>
      <w:tr>
        <w:trPr>
          <w:trHeight w:val="517" w:hRule="atLeast"/>
        </w:trPr>
        <w:tc>
          <w:tcPr>
            <w:tcW w:w="1452" w:type="dxa"/>
          </w:tcPr>
          <w:p>
            <w:pPr>
              <w:pStyle w:val="TableParagraph"/>
              <w:ind w:left="107"/>
              <w:rPr>
                <w:sz w:val="24"/>
              </w:rPr>
            </w:pPr>
            <w:r>
              <w:rPr>
                <w:sz w:val="24"/>
              </w:rPr>
              <w:t>5/22/17</w:t>
            </w:r>
          </w:p>
        </w:tc>
        <w:tc>
          <w:tcPr>
            <w:tcW w:w="1440" w:type="dxa"/>
          </w:tcPr>
          <w:p>
            <w:pPr>
              <w:pStyle w:val="TableParagraph"/>
              <w:ind w:left="108"/>
              <w:rPr>
                <w:sz w:val="24"/>
              </w:rPr>
            </w:pPr>
            <w:r>
              <w:rPr>
                <w:sz w:val="24"/>
              </w:rPr>
              <w:t>5/26/17</w:t>
            </w:r>
          </w:p>
        </w:tc>
        <w:tc>
          <w:tcPr>
            <w:tcW w:w="1799" w:type="dxa"/>
          </w:tcPr>
          <w:p>
            <w:pPr>
              <w:pStyle w:val="TableParagraph"/>
              <w:ind w:left="108"/>
              <w:rPr>
                <w:sz w:val="24"/>
              </w:rPr>
            </w:pPr>
            <w:r>
              <w:rPr>
                <w:sz w:val="24"/>
              </w:rPr>
              <w:t>5/30/17</w:t>
            </w:r>
          </w:p>
        </w:tc>
        <w:tc>
          <w:tcPr>
            <w:tcW w:w="1891" w:type="dxa"/>
          </w:tcPr>
          <w:p>
            <w:pPr>
              <w:pStyle w:val="TableParagraph"/>
              <w:ind w:left="109"/>
              <w:rPr>
                <w:sz w:val="24"/>
              </w:rPr>
            </w:pPr>
            <w:r>
              <w:rPr>
                <w:sz w:val="24"/>
              </w:rPr>
              <w:t>6/6/17</w:t>
            </w:r>
          </w:p>
        </w:tc>
        <w:tc>
          <w:tcPr>
            <w:tcW w:w="1889" w:type="dxa"/>
          </w:tcPr>
          <w:p>
            <w:pPr>
              <w:pStyle w:val="TableParagraph"/>
              <w:ind w:left="110"/>
              <w:rPr>
                <w:sz w:val="24"/>
              </w:rPr>
            </w:pPr>
            <w:r>
              <w:rPr>
                <w:sz w:val="24"/>
              </w:rPr>
              <w:t>Winter 2018</w:t>
            </w:r>
          </w:p>
        </w:tc>
      </w:tr>
    </w:tbl>
    <w:sectPr>
      <w:pgSz w:w="12240" w:h="15840"/>
      <w:pgMar w:top="1440" w:bottom="280" w:left="9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9"/>
      <w:numFmt w:val="decimal"/>
      <w:lvlText w:val="%1."/>
      <w:lvlJc w:val="left"/>
      <w:pPr>
        <w:ind w:left="430" w:hanging="270"/>
        <w:jc w:val="left"/>
      </w:pPr>
      <w:rPr>
        <w:rFonts w:hint="default" w:ascii="Arial" w:hAnsi="Arial" w:eastAsia="Arial" w:cs="Arial"/>
        <w:b/>
        <w:bCs/>
        <w:w w:val="99"/>
        <w:sz w:val="24"/>
        <w:szCs w:val="24"/>
        <w:lang w:val="en-us" w:eastAsia="en-us" w:bidi="en-us"/>
      </w:rPr>
    </w:lvl>
    <w:lvl w:ilvl="1">
      <w:start w:val="0"/>
      <w:numFmt w:val="bullet"/>
      <w:lvlText w:val=""/>
      <w:lvlJc w:val="left"/>
      <w:pPr>
        <w:ind w:left="882" w:hanging="360"/>
      </w:pPr>
      <w:rPr>
        <w:rFonts w:hint="default" w:ascii="Symbol" w:hAnsi="Symbol" w:eastAsia="Symbol" w:cs="Symbol"/>
        <w:w w:val="100"/>
        <w:sz w:val="24"/>
        <w:szCs w:val="24"/>
        <w:lang w:val="en-us" w:eastAsia="en-us" w:bidi="en-us"/>
      </w:rPr>
    </w:lvl>
    <w:lvl w:ilvl="2">
      <w:start w:val="0"/>
      <w:numFmt w:val="bullet"/>
      <w:lvlText w:val="•"/>
      <w:lvlJc w:val="left"/>
      <w:pPr>
        <w:ind w:left="2037" w:hanging="360"/>
      </w:pPr>
      <w:rPr>
        <w:rFonts w:hint="default"/>
        <w:lang w:val="en-us" w:eastAsia="en-us" w:bidi="en-us"/>
      </w:rPr>
    </w:lvl>
    <w:lvl w:ilvl="3">
      <w:start w:val="0"/>
      <w:numFmt w:val="bullet"/>
      <w:lvlText w:val="•"/>
      <w:lvlJc w:val="left"/>
      <w:pPr>
        <w:ind w:left="3195"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511" w:hanging="360"/>
      </w:pPr>
      <w:rPr>
        <w:rFonts w:hint="default"/>
        <w:lang w:val="en-us" w:eastAsia="en-us" w:bidi="en-us"/>
      </w:rPr>
    </w:lvl>
    <w:lvl w:ilvl="6">
      <w:start w:val="0"/>
      <w:numFmt w:val="bullet"/>
      <w:lvlText w:val="•"/>
      <w:lvlJc w:val="left"/>
      <w:pPr>
        <w:ind w:left="6668" w:hanging="360"/>
      </w:pPr>
      <w:rPr>
        <w:rFonts w:hint="default"/>
        <w:lang w:val="en-us" w:eastAsia="en-us" w:bidi="en-us"/>
      </w:rPr>
    </w:lvl>
    <w:lvl w:ilvl="7">
      <w:start w:val="0"/>
      <w:numFmt w:val="bullet"/>
      <w:lvlText w:val="•"/>
      <w:lvlJc w:val="left"/>
      <w:pPr>
        <w:ind w:left="7826" w:hanging="360"/>
      </w:pPr>
      <w:rPr>
        <w:rFonts w:hint="default"/>
        <w:lang w:val="en-us" w:eastAsia="en-us" w:bidi="en-us"/>
      </w:rPr>
    </w:lvl>
    <w:lvl w:ilvl="8">
      <w:start w:val="0"/>
      <w:numFmt w:val="bullet"/>
      <w:lvlText w:val="•"/>
      <w:lvlJc w:val="left"/>
      <w:pPr>
        <w:ind w:left="8984" w:hanging="360"/>
      </w:pPr>
      <w:rPr>
        <w:rFonts w:hint="default"/>
        <w:lang w:val="en-us" w:eastAsia="en-us" w:bidi="en-us"/>
      </w:rPr>
    </w:lvl>
  </w:abstractNum>
  <w:abstractNum w:abstractNumId="0">
    <w:multiLevelType w:val="hybridMultilevel"/>
    <w:lvl w:ilvl="0">
      <w:start w:val="1"/>
      <w:numFmt w:val="decimal"/>
      <w:lvlText w:val="%1."/>
      <w:lvlJc w:val="left"/>
      <w:pPr>
        <w:ind w:left="25" w:hanging="270"/>
        <w:jc w:val="left"/>
      </w:pPr>
      <w:rPr>
        <w:rFonts w:hint="default" w:ascii="Arial" w:hAnsi="Arial" w:eastAsia="Arial" w:cs="Arial"/>
        <w:b/>
        <w:bCs/>
        <w:w w:val="99"/>
        <w:sz w:val="24"/>
        <w:szCs w:val="24"/>
        <w:lang w:val="en-us" w:eastAsia="en-us" w:bidi="en-us"/>
      </w:rPr>
    </w:lvl>
    <w:lvl w:ilvl="1">
      <w:start w:val="0"/>
      <w:numFmt w:val="bullet"/>
      <w:lvlText w:val="•"/>
      <w:lvlJc w:val="left"/>
      <w:pPr>
        <w:ind w:left="985" w:hanging="270"/>
      </w:pPr>
      <w:rPr>
        <w:rFonts w:hint="default"/>
        <w:lang w:val="en-us" w:eastAsia="en-us" w:bidi="en-us"/>
      </w:rPr>
    </w:lvl>
    <w:lvl w:ilvl="2">
      <w:start w:val="0"/>
      <w:numFmt w:val="bullet"/>
      <w:lvlText w:val="•"/>
      <w:lvlJc w:val="left"/>
      <w:pPr>
        <w:ind w:left="1950" w:hanging="270"/>
      </w:pPr>
      <w:rPr>
        <w:rFonts w:hint="default"/>
        <w:lang w:val="en-us" w:eastAsia="en-us" w:bidi="en-us"/>
      </w:rPr>
    </w:lvl>
    <w:lvl w:ilvl="3">
      <w:start w:val="0"/>
      <w:numFmt w:val="bullet"/>
      <w:lvlText w:val="•"/>
      <w:lvlJc w:val="left"/>
      <w:pPr>
        <w:ind w:left="2915" w:hanging="270"/>
      </w:pPr>
      <w:rPr>
        <w:rFonts w:hint="default"/>
        <w:lang w:val="en-us" w:eastAsia="en-us" w:bidi="en-us"/>
      </w:rPr>
    </w:lvl>
    <w:lvl w:ilvl="4">
      <w:start w:val="0"/>
      <w:numFmt w:val="bullet"/>
      <w:lvlText w:val="•"/>
      <w:lvlJc w:val="left"/>
      <w:pPr>
        <w:ind w:left="3880" w:hanging="270"/>
      </w:pPr>
      <w:rPr>
        <w:rFonts w:hint="default"/>
        <w:lang w:val="en-us" w:eastAsia="en-us" w:bidi="en-us"/>
      </w:rPr>
    </w:lvl>
    <w:lvl w:ilvl="5">
      <w:start w:val="0"/>
      <w:numFmt w:val="bullet"/>
      <w:lvlText w:val="•"/>
      <w:lvlJc w:val="left"/>
      <w:pPr>
        <w:ind w:left="4845" w:hanging="270"/>
      </w:pPr>
      <w:rPr>
        <w:rFonts w:hint="default"/>
        <w:lang w:val="en-us" w:eastAsia="en-us" w:bidi="en-us"/>
      </w:rPr>
    </w:lvl>
    <w:lvl w:ilvl="6">
      <w:start w:val="0"/>
      <w:numFmt w:val="bullet"/>
      <w:lvlText w:val="•"/>
      <w:lvlJc w:val="left"/>
      <w:pPr>
        <w:ind w:left="5810" w:hanging="270"/>
      </w:pPr>
      <w:rPr>
        <w:rFonts w:hint="default"/>
        <w:lang w:val="en-us" w:eastAsia="en-us" w:bidi="en-us"/>
      </w:rPr>
    </w:lvl>
    <w:lvl w:ilvl="7">
      <w:start w:val="0"/>
      <w:numFmt w:val="bullet"/>
      <w:lvlText w:val="•"/>
      <w:lvlJc w:val="left"/>
      <w:pPr>
        <w:ind w:left="6775" w:hanging="270"/>
      </w:pPr>
      <w:rPr>
        <w:rFonts w:hint="default"/>
        <w:lang w:val="en-us" w:eastAsia="en-us" w:bidi="en-us"/>
      </w:rPr>
    </w:lvl>
    <w:lvl w:ilvl="8">
      <w:start w:val="0"/>
      <w:numFmt w:val="bullet"/>
      <w:lvlText w:val="•"/>
      <w:lvlJc w:val="left"/>
      <w:pPr>
        <w:ind w:left="7740" w:hanging="27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161"/>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882" w:hanging="360"/>
    </w:pPr>
    <w:rPr>
      <w:rFonts w:ascii="Arial" w:hAnsi="Arial" w:eastAsia="Arial" w:cs="Arial"/>
      <w:lang w:val="en-us" w:eastAsia="en-us" w:bidi="en-us"/>
    </w:rPr>
  </w:style>
  <w:style w:styleId="TableParagraph" w:type="paragraph">
    <w:name w:val="Table Paragraph"/>
    <w:basedOn w:val="Normal"/>
    <w:uiPriority w:val="1"/>
    <w:qFormat/>
    <w:pPr>
      <w:ind w:left="4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Barbara</dc:creator>
  <dcterms:created xsi:type="dcterms:W3CDTF">2019-12-03T22:35:51Z</dcterms:created>
  <dcterms:modified xsi:type="dcterms:W3CDTF">2019-12-03T22:35:51Z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2013</vt:lpwstr>
  </property>
  <property fmtid="{D5CDD505-2E9C-101B-9397-08002B2CF9AE}" pid="4" name="LastSaved">
    <vt:filetime>2019-12-03T00:00:00Z</vt:filetime>
  </property>
</Properties>
</file>